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简体" w:cs="Times New Roman"/>
          <w:b w:val="0"/>
          <w:bCs w:val="0"/>
          <w:color w:val="000000"/>
          <w:kern w:val="0"/>
          <w:sz w:val="44"/>
          <w:szCs w:val="44"/>
          <w:lang w:val="en-US" w:eastAsia="zh-CN" w:bidi="ar-SA"/>
        </w:rPr>
      </w:pPr>
      <w:r>
        <w:rPr>
          <w:rFonts w:hint="default" w:ascii="Times New Roman" w:hAnsi="Times New Roman" w:eastAsia="方正小标宋简体" w:cs="Times New Roman"/>
          <w:b w:val="0"/>
          <w:bCs w:val="0"/>
          <w:color w:val="000000"/>
          <w:kern w:val="0"/>
          <w:sz w:val="44"/>
          <w:szCs w:val="44"/>
          <w:lang w:val="en-US" w:eastAsia="zh-CN" w:bidi="ar-SA"/>
        </w:rPr>
        <w:t>2024年</w:t>
      </w:r>
      <w:r>
        <w:rPr>
          <w:rFonts w:hint="eastAsia" w:eastAsia="方正小标宋简体" w:cs="Times New Roman"/>
          <w:b w:val="0"/>
          <w:bCs w:val="0"/>
          <w:color w:val="000000"/>
          <w:kern w:val="0"/>
          <w:sz w:val="44"/>
          <w:szCs w:val="44"/>
          <w:lang w:val="en-US" w:eastAsia="zh-CN" w:bidi="ar-SA"/>
        </w:rPr>
        <w:t>中卫市</w:t>
      </w:r>
      <w:r>
        <w:rPr>
          <w:rFonts w:hint="default" w:ascii="Times New Roman" w:hAnsi="Times New Roman" w:eastAsia="方正小标宋简体" w:cs="Times New Roman"/>
          <w:b w:val="0"/>
          <w:bCs w:val="0"/>
          <w:color w:val="000000"/>
          <w:kern w:val="0"/>
          <w:sz w:val="44"/>
          <w:szCs w:val="44"/>
          <w:lang w:val="en-US" w:eastAsia="zh-CN" w:bidi="ar-SA"/>
        </w:rPr>
        <w:t>沙坡头区</w:t>
      </w:r>
      <w:r>
        <w:rPr>
          <w:rFonts w:hint="eastAsia" w:eastAsia="方正小标宋简体" w:cs="Times New Roman"/>
          <w:b w:val="0"/>
          <w:bCs w:val="0"/>
          <w:color w:val="000000"/>
          <w:kern w:val="0"/>
          <w:sz w:val="44"/>
          <w:szCs w:val="44"/>
          <w:lang w:val="en-US" w:eastAsia="zh-CN" w:bidi="ar-SA"/>
        </w:rPr>
        <w:t>教育领域部门联合</w:t>
      </w:r>
      <w:r>
        <w:rPr>
          <w:rFonts w:hint="default" w:ascii="Times New Roman" w:hAnsi="Times New Roman" w:eastAsia="方正小标宋简体" w:cs="Times New Roman"/>
          <w:b w:val="0"/>
          <w:bCs w:val="0"/>
          <w:color w:val="000000"/>
          <w:kern w:val="0"/>
          <w:sz w:val="44"/>
          <w:szCs w:val="44"/>
          <w:lang w:val="en-US" w:eastAsia="zh-CN" w:bidi="ar-SA"/>
        </w:rPr>
        <w:t>随机抽查</w:t>
      </w:r>
      <w:r>
        <w:rPr>
          <w:rFonts w:hint="eastAsia" w:eastAsia="方正小标宋简体" w:cs="Times New Roman"/>
          <w:b w:val="0"/>
          <w:bCs w:val="0"/>
          <w:color w:val="000000"/>
          <w:kern w:val="0"/>
          <w:sz w:val="44"/>
          <w:szCs w:val="44"/>
          <w:lang w:val="en-US" w:eastAsia="zh-CN" w:bidi="ar-SA"/>
        </w:rPr>
        <w:t>工作计划表</w:t>
      </w:r>
    </w:p>
    <w:tbl>
      <w:tblPr>
        <w:tblStyle w:val="4"/>
        <w:tblW w:w="14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25"/>
        <w:gridCol w:w="1572"/>
        <w:gridCol w:w="1524"/>
        <w:gridCol w:w="972"/>
        <w:gridCol w:w="1080"/>
        <w:gridCol w:w="996"/>
        <w:gridCol w:w="3588"/>
        <w:gridCol w:w="1008"/>
        <w:gridCol w:w="171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625"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序号</w:t>
            </w:r>
          </w:p>
        </w:tc>
        <w:tc>
          <w:tcPr>
            <w:tcW w:w="1572"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抽查任务名称</w:t>
            </w:r>
          </w:p>
        </w:tc>
        <w:tc>
          <w:tcPr>
            <w:tcW w:w="1524"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抽查事项</w:t>
            </w:r>
          </w:p>
        </w:tc>
        <w:tc>
          <w:tcPr>
            <w:tcW w:w="972"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抽查比例</w:t>
            </w:r>
          </w:p>
        </w:tc>
        <w:tc>
          <w:tcPr>
            <w:tcW w:w="1080"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检查对象</w:t>
            </w:r>
          </w:p>
        </w:tc>
        <w:tc>
          <w:tcPr>
            <w:tcW w:w="996"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抽查类型</w:t>
            </w:r>
          </w:p>
        </w:tc>
        <w:tc>
          <w:tcPr>
            <w:tcW w:w="3588"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检查依据</w:t>
            </w:r>
          </w:p>
        </w:tc>
        <w:tc>
          <w:tcPr>
            <w:tcW w:w="1008"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组织抽查单位</w:t>
            </w:r>
          </w:p>
        </w:tc>
        <w:tc>
          <w:tcPr>
            <w:tcW w:w="1716" w:type="dxa"/>
            <w:vAlign w:val="center"/>
          </w:tcPr>
          <w:p>
            <w:pPr>
              <w:jc w:val="center"/>
              <w:rPr>
                <w:rFonts w:hint="eastAsia" w:ascii="仿宋_GB2312" w:hAnsi="仿宋_GB2312" w:eastAsia="仿宋_GB2312" w:cs="仿宋_GB2312"/>
                <w:b/>
                <w:bCs/>
                <w:sz w:val="18"/>
                <w:szCs w:val="21"/>
                <w:vertAlign w:val="baseline"/>
                <w:lang w:val="en-US" w:eastAsia="zh-CN"/>
              </w:rPr>
            </w:pPr>
            <w:r>
              <w:rPr>
                <w:rFonts w:hint="eastAsia" w:ascii="仿宋_GB2312" w:hAnsi="仿宋_GB2312" w:eastAsia="仿宋_GB2312" w:cs="仿宋_GB2312"/>
                <w:b/>
                <w:bCs/>
                <w:sz w:val="18"/>
                <w:szCs w:val="21"/>
                <w:vertAlign w:val="baseline"/>
                <w:lang w:val="en-US" w:eastAsia="zh-CN"/>
              </w:rPr>
              <w:t>联合检查参与单位</w:t>
            </w:r>
          </w:p>
        </w:tc>
        <w:tc>
          <w:tcPr>
            <w:tcW w:w="1213" w:type="dxa"/>
            <w:vAlign w:val="center"/>
          </w:tcPr>
          <w:p>
            <w:pPr>
              <w:jc w:val="center"/>
              <w:rPr>
                <w:rFonts w:hint="eastAsia" w:ascii="仿宋_GB2312" w:hAnsi="仿宋_GB2312" w:eastAsia="仿宋_GB2312" w:cs="仿宋_GB2312"/>
                <w:b/>
                <w:bCs/>
                <w:sz w:val="18"/>
                <w:szCs w:val="21"/>
                <w:vertAlign w:val="baseline"/>
              </w:rPr>
            </w:pPr>
            <w:r>
              <w:rPr>
                <w:rFonts w:hint="eastAsia" w:ascii="仿宋_GB2312" w:hAnsi="仿宋_GB2312" w:eastAsia="仿宋_GB2312" w:cs="仿宋_GB2312"/>
                <w:b/>
                <w:bCs/>
                <w:sz w:val="18"/>
                <w:szCs w:val="21"/>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3" w:hRule="atLeast"/>
        </w:trPr>
        <w:tc>
          <w:tcPr>
            <w:tcW w:w="625" w:type="dxa"/>
            <w:vAlign w:val="center"/>
          </w:tcPr>
          <w:p>
            <w:pPr>
              <w:jc w:val="center"/>
              <w:rPr>
                <w:rFonts w:hint="eastAsia" w:eastAsia="宋体"/>
                <w:vertAlign w:val="baseline"/>
                <w:lang w:val="en-US" w:eastAsia="zh-CN"/>
              </w:rPr>
            </w:pPr>
            <w:r>
              <w:rPr>
                <w:rFonts w:hint="eastAsia"/>
                <w:vertAlign w:val="baseline"/>
                <w:lang w:val="en-US" w:eastAsia="zh-CN"/>
              </w:rPr>
              <w:t>1</w:t>
            </w:r>
          </w:p>
        </w:tc>
        <w:tc>
          <w:tcPr>
            <w:tcW w:w="1572"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vertAlign w:val="baseline"/>
              </w:rPr>
            </w:pPr>
            <w:r>
              <w:rPr>
                <w:rFonts w:hint="default" w:ascii="Times New Roman" w:hAnsi="Times New Roman" w:eastAsia="仿宋_GB2312" w:cs="Times New Roman"/>
                <w:i w:val="0"/>
                <w:color w:val="000000"/>
                <w:kern w:val="0"/>
                <w:sz w:val="16"/>
                <w:szCs w:val="16"/>
                <w:u w:val="none"/>
                <w:lang w:val="en-US" w:eastAsia="zh-CN" w:bidi="ar"/>
              </w:rPr>
              <w:t>校外培训机构监管</w:t>
            </w:r>
          </w:p>
        </w:tc>
        <w:tc>
          <w:tcPr>
            <w:tcW w:w="1524" w:type="dxa"/>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vertAlign w:val="baseline"/>
              </w:rPr>
            </w:pPr>
            <w:r>
              <w:rPr>
                <w:rFonts w:hint="default" w:ascii="Times New Roman" w:hAnsi="Times New Roman" w:eastAsia="仿宋_GB2312" w:cs="Times New Roman"/>
                <w:i w:val="0"/>
                <w:color w:val="000000"/>
                <w:kern w:val="0"/>
                <w:sz w:val="16"/>
                <w:szCs w:val="16"/>
                <w:u w:val="none"/>
                <w:lang w:val="en-US" w:eastAsia="zh-CN" w:bidi="ar"/>
              </w:rPr>
              <w:t>培训机构资质条</w:t>
            </w:r>
            <w:bookmarkStart w:id="0" w:name="_GoBack"/>
            <w:bookmarkEnd w:id="0"/>
            <w:r>
              <w:rPr>
                <w:rFonts w:hint="default" w:ascii="Times New Roman" w:hAnsi="Times New Roman" w:eastAsia="仿宋_GB2312" w:cs="Times New Roman"/>
                <w:i w:val="0"/>
                <w:color w:val="000000"/>
                <w:kern w:val="0"/>
                <w:sz w:val="16"/>
                <w:szCs w:val="16"/>
                <w:u w:val="none"/>
                <w:lang w:val="en-US" w:eastAsia="zh-CN" w:bidi="ar"/>
              </w:rPr>
              <w:t>件、经营活动、培训服务行为的检查</w:t>
            </w:r>
          </w:p>
        </w:tc>
        <w:tc>
          <w:tcPr>
            <w:tcW w:w="972" w:type="dxa"/>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vertAlign w:val="baseline"/>
              </w:rPr>
            </w:pPr>
            <w:r>
              <w:rPr>
                <w:rFonts w:hint="eastAsia" w:eastAsia="仿宋_GB2312" w:cs="Times New Roman"/>
                <w:color w:val="auto"/>
                <w:sz w:val="16"/>
                <w:szCs w:val="16"/>
                <w:lang w:val="en-US" w:eastAsia="zh-CN"/>
              </w:rPr>
              <w:t>5%</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vertAlign w:val="baseline"/>
              </w:rPr>
            </w:pPr>
            <w:r>
              <w:rPr>
                <w:rFonts w:hint="default" w:ascii="Times New Roman" w:hAnsi="Times New Roman" w:eastAsia="仿宋_GB2312" w:cs="Times New Roman"/>
                <w:i w:val="0"/>
                <w:color w:val="000000"/>
                <w:kern w:val="0"/>
                <w:sz w:val="16"/>
                <w:szCs w:val="16"/>
                <w:u w:val="none"/>
                <w:lang w:val="en" w:eastAsia="zh-CN" w:bidi="ar"/>
              </w:rPr>
              <w:t>中小学学科类校外培训机构</w:t>
            </w:r>
          </w:p>
        </w:tc>
        <w:tc>
          <w:tcPr>
            <w:tcW w:w="996"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Times New Roman" w:hAnsi="Times New Roman" w:eastAsia="仿宋_GB2312" w:cs="Times New Roman"/>
                <w:i w:val="0"/>
                <w:color w:val="000000"/>
                <w:kern w:val="0"/>
                <w:sz w:val="16"/>
                <w:szCs w:val="16"/>
                <w:u w:val="none"/>
                <w:lang w:val="en-US" w:eastAsia="zh-CN" w:bidi="ar"/>
              </w:rPr>
            </w:pPr>
            <w:r>
              <w:rPr>
                <w:rFonts w:hint="eastAsia" w:ascii="Times New Roman" w:hAnsi="Times New Roman" w:eastAsia="仿宋_GB2312" w:cs="Times New Roman"/>
                <w:i w:val="0"/>
                <w:color w:val="000000"/>
                <w:kern w:val="0"/>
                <w:sz w:val="16"/>
                <w:szCs w:val="16"/>
                <w:u w:val="none"/>
                <w:lang w:val="en-US" w:eastAsia="zh-CN" w:bidi="ar"/>
              </w:rPr>
              <w:t>不定向</w:t>
            </w:r>
          </w:p>
        </w:tc>
        <w:tc>
          <w:tcPr>
            <w:tcW w:w="3588" w:type="dxa"/>
            <w:vAlign w:val="center"/>
          </w:tcPr>
          <w:p>
            <w:pPr>
              <w:keepNext w:val="0"/>
              <w:keepLines w:val="0"/>
              <w:pageBreakBefore w:val="0"/>
              <w:widowControl/>
              <w:kinsoku/>
              <w:wordWrap/>
              <w:overflowPunct/>
              <w:topLinePunct w:val="0"/>
              <w:autoSpaceDE/>
              <w:autoSpaceDN/>
              <w:bidi w:val="0"/>
              <w:adjustRightInd/>
              <w:snapToGrid w:val="0"/>
              <w:spacing w:line="180" w:lineRule="exact"/>
              <w:jc w:val="both"/>
              <w:textAlignment w:val="center"/>
              <w:rPr>
                <w:vertAlign w:val="baseline"/>
              </w:rPr>
            </w:pPr>
            <w:r>
              <w:rPr>
                <w:rFonts w:hint="default" w:ascii="Times New Roman" w:hAnsi="Times New Roman" w:eastAsia="仿宋_GB2312" w:cs="Times New Roman"/>
                <w:color w:val="auto"/>
                <w:sz w:val="16"/>
                <w:szCs w:val="16"/>
              </w:rPr>
              <w:t>《中共中央办公厅、国务院关于进一步减轻义务教育阶段学生作业负担和校外培训负担的意见》《教育部、中央编办、司法部关于加强教育行政执法 深入推进校外培训综合治理的意见》</w:t>
            </w:r>
            <w:r>
              <w:rPr>
                <w:rFonts w:hint="default" w:ascii="Times New Roman" w:hAnsi="Times New Roman" w:eastAsia="仿宋_GB2312" w:cs="Times New Roman"/>
                <w:color w:val="auto"/>
                <w:sz w:val="16"/>
                <w:szCs w:val="16"/>
                <w:lang w:val="en"/>
              </w:rPr>
              <w:t>(</w:t>
            </w:r>
            <w:r>
              <w:rPr>
                <w:rFonts w:hint="default" w:ascii="Times New Roman" w:hAnsi="Times New Roman" w:eastAsia="仿宋_GB2312" w:cs="Times New Roman"/>
                <w:color w:val="auto"/>
                <w:sz w:val="16"/>
                <w:szCs w:val="16"/>
              </w:rPr>
              <w:t>教监管〔2022〕1号</w:t>
            </w:r>
            <w:r>
              <w:rPr>
                <w:rFonts w:hint="default" w:ascii="Times New Roman" w:hAnsi="Times New Roman" w:eastAsia="仿宋_GB2312" w:cs="Times New Roman"/>
                <w:color w:val="auto"/>
                <w:sz w:val="16"/>
                <w:szCs w:val="16"/>
                <w:lang w:val="en"/>
              </w:rPr>
              <w:t>)</w:t>
            </w:r>
            <w:r>
              <w:rPr>
                <w:rFonts w:hint="default" w:ascii="Times New Roman" w:hAnsi="Times New Roman" w:eastAsia="仿宋_GB2312" w:cs="Times New Roman"/>
                <w:color w:val="auto"/>
                <w:sz w:val="16"/>
                <w:szCs w:val="16"/>
              </w:rPr>
              <w:t>《自治区党委办公厅、自治区人民政府办公厅关于进一步减轻义务教育阶段学生作业负担和校外培训负担的实施方案》（宁党办发〔2021〕79 号）</w:t>
            </w:r>
          </w:p>
        </w:tc>
        <w:tc>
          <w:tcPr>
            <w:tcW w:w="1008" w:type="dxa"/>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auto"/>
                <w:sz w:val="16"/>
                <w:szCs w:val="16"/>
                <w:lang w:val="en-US" w:eastAsia="zh-CN"/>
              </w:rPr>
            </w:pPr>
            <w:r>
              <w:rPr>
                <w:rFonts w:hint="eastAsia" w:ascii="Times New Roman" w:hAnsi="Times New Roman" w:eastAsia="仿宋_GB2312" w:cs="Times New Roman"/>
                <w:color w:val="auto"/>
                <w:sz w:val="16"/>
                <w:szCs w:val="16"/>
                <w:lang w:val="en-US" w:eastAsia="zh-CN"/>
              </w:rPr>
              <w:t>沙坡头区教育局</w:t>
            </w:r>
          </w:p>
        </w:tc>
        <w:tc>
          <w:tcPr>
            <w:tcW w:w="1716" w:type="dxa"/>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i w:val="0"/>
                <w:color w:val="000000"/>
                <w:kern w:val="0"/>
                <w:sz w:val="16"/>
                <w:szCs w:val="16"/>
                <w:u w:val="none"/>
                <w:lang w:val="en-US" w:eastAsia="zh-CN" w:bidi="ar"/>
              </w:rPr>
            </w:pPr>
            <w:r>
              <w:rPr>
                <w:rFonts w:hint="eastAsia" w:ascii="Times New Roman" w:hAnsi="Times New Roman" w:eastAsia="仿宋_GB2312" w:cs="Times New Roman"/>
                <w:i w:val="0"/>
                <w:color w:val="000000"/>
                <w:kern w:val="0"/>
                <w:sz w:val="16"/>
                <w:szCs w:val="16"/>
                <w:u w:val="none"/>
                <w:lang w:val="en-US" w:eastAsia="zh-CN" w:bidi="ar"/>
              </w:rPr>
              <w:t>区市场监管分局、区民社局、公安分局、消防救援大队</w:t>
            </w:r>
          </w:p>
        </w:tc>
        <w:tc>
          <w:tcPr>
            <w:tcW w:w="1213" w:type="dxa"/>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default" w:ascii="Times New Roman" w:hAnsi="Times New Roman" w:eastAsia="仿宋_GB2312" w:cs="Times New Roman"/>
                <w:i w:val="0"/>
                <w:color w:val="000000"/>
                <w:kern w:val="0"/>
                <w:sz w:val="16"/>
                <w:szCs w:val="16"/>
                <w:u w:val="none"/>
                <w:lang w:val="en-US" w:eastAsia="zh-CN" w:bidi="ar"/>
              </w:rPr>
            </w:pPr>
            <w:r>
              <w:rPr>
                <w:rFonts w:hint="eastAsia" w:ascii="Times New Roman" w:hAnsi="Times New Roman" w:eastAsia="仿宋_GB2312" w:cs="Times New Roman"/>
                <w:i w:val="0"/>
                <w:color w:val="000000"/>
                <w:kern w:val="0"/>
                <w:sz w:val="16"/>
                <w:szCs w:val="16"/>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3" w:hRule="atLeast"/>
        </w:trPr>
        <w:tc>
          <w:tcPr>
            <w:tcW w:w="625" w:type="dxa"/>
            <w:vAlign w:val="center"/>
          </w:tcPr>
          <w:p>
            <w:pPr>
              <w:jc w:val="center"/>
              <w:rPr>
                <w:rFonts w:hint="eastAsia" w:eastAsia="宋体"/>
                <w:vertAlign w:val="baseline"/>
                <w:lang w:val="en-US" w:eastAsia="zh-CN"/>
              </w:rPr>
            </w:pPr>
            <w:r>
              <w:rPr>
                <w:rFonts w:hint="eastAsia"/>
                <w:vertAlign w:val="baseline"/>
                <w:lang w:val="en-US" w:eastAsia="zh-CN"/>
              </w:rPr>
              <w:t>2</w:t>
            </w:r>
          </w:p>
        </w:tc>
        <w:tc>
          <w:tcPr>
            <w:tcW w:w="1572"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仿宋_GB2312" w:cs="Times New Roman"/>
                <w:i w:val="0"/>
                <w:color w:val="000000"/>
                <w:kern w:val="0"/>
                <w:sz w:val="16"/>
                <w:szCs w:val="16"/>
                <w:u w:val="none"/>
                <w:lang w:val="en-US" w:eastAsia="zh-CN" w:bidi="ar"/>
              </w:rPr>
            </w:pPr>
            <w:r>
              <w:rPr>
                <w:rFonts w:hint="default" w:ascii="Times New Roman" w:hAnsi="Times New Roman" w:eastAsia="仿宋_GB2312" w:cs="Times New Roman"/>
                <w:i w:val="0"/>
                <w:color w:val="000000"/>
                <w:kern w:val="0"/>
                <w:sz w:val="16"/>
                <w:szCs w:val="16"/>
                <w:u w:val="none"/>
                <w:lang w:val="en-US" w:eastAsia="zh-CN" w:bidi="ar"/>
              </w:rPr>
              <w:t>学校办学情况抽查</w:t>
            </w:r>
          </w:p>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vertAlign w:val="baseline"/>
              </w:rPr>
            </w:pPr>
          </w:p>
        </w:tc>
        <w:tc>
          <w:tcPr>
            <w:tcW w:w="1524" w:type="dxa"/>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vertAlign w:val="baseline"/>
              </w:rPr>
            </w:pPr>
            <w:r>
              <w:rPr>
                <w:rFonts w:hint="default" w:ascii="Times New Roman" w:hAnsi="Times New Roman" w:eastAsia="仿宋_GB2312" w:cs="Times New Roman"/>
                <w:i w:val="0"/>
                <w:color w:val="000000"/>
                <w:kern w:val="0"/>
                <w:sz w:val="16"/>
                <w:szCs w:val="16"/>
                <w:u w:val="none"/>
                <w:lang w:val="en-US" w:eastAsia="zh-CN" w:bidi="ar"/>
              </w:rPr>
              <w:t>中小学（幼儿园）教育装备配备管理情况（含图书、教学仪器设备、电子产品、校服、床上用品等）检查</w:t>
            </w:r>
          </w:p>
        </w:tc>
        <w:tc>
          <w:tcPr>
            <w:tcW w:w="972" w:type="dxa"/>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vertAlign w:val="baseline"/>
              </w:rPr>
            </w:pPr>
            <w:r>
              <w:rPr>
                <w:rFonts w:hint="eastAsia" w:eastAsia="仿宋_GB2312" w:cs="Times New Roman"/>
                <w:color w:val="auto"/>
                <w:sz w:val="16"/>
                <w:szCs w:val="16"/>
                <w:lang w:val="en-US" w:eastAsia="zh-CN"/>
              </w:rPr>
              <w:t>3%</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vertAlign w:val="baseline"/>
              </w:rPr>
            </w:pPr>
            <w:r>
              <w:rPr>
                <w:rFonts w:hint="default" w:ascii="Times New Roman" w:hAnsi="Times New Roman" w:eastAsia="仿宋_GB2312" w:cs="Times New Roman"/>
                <w:i w:val="0"/>
                <w:color w:val="000000"/>
                <w:kern w:val="0"/>
                <w:sz w:val="16"/>
                <w:szCs w:val="16"/>
                <w:u w:val="none"/>
                <w:lang w:val="en-US" w:eastAsia="zh-CN" w:bidi="ar"/>
              </w:rPr>
              <w:t>各类学校</w:t>
            </w:r>
          </w:p>
        </w:tc>
        <w:tc>
          <w:tcPr>
            <w:tcW w:w="996"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Times New Roman" w:hAnsi="Times New Roman" w:eastAsia="仿宋_GB2312" w:cs="Times New Roman"/>
                <w:i w:val="0"/>
                <w:color w:val="000000"/>
                <w:kern w:val="0"/>
                <w:sz w:val="16"/>
                <w:szCs w:val="16"/>
                <w:u w:val="none"/>
                <w:lang w:val="en-US" w:eastAsia="zh-CN" w:bidi="ar"/>
              </w:rPr>
            </w:pPr>
            <w:r>
              <w:rPr>
                <w:rFonts w:hint="eastAsia" w:ascii="Times New Roman" w:hAnsi="Times New Roman" w:eastAsia="仿宋_GB2312" w:cs="Times New Roman"/>
                <w:i w:val="0"/>
                <w:color w:val="000000"/>
                <w:kern w:val="0"/>
                <w:sz w:val="16"/>
                <w:szCs w:val="16"/>
                <w:u w:val="none"/>
                <w:lang w:val="en-US" w:eastAsia="zh-CN" w:bidi="ar"/>
              </w:rPr>
              <w:t>不定向</w:t>
            </w:r>
          </w:p>
        </w:tc>
        <w:tc>
          <w:tcPr>
            <w:tcW w:w="3588" w:type="dxa"/>
            <w:vAlign w:val="center"/>
          </w:tcPr>
          <w:p>
            <w:pPr>
              <w:keepNext w:val="0"/>
              <w:keepLines w:val="0"/>
              <w:pageBreakBefore w:val="0"/>
              <w:widowControl/>
              <w:kinsoku/>
              <w:wordWrap/>
              <w:overflowPunct/>
              <w:topLinePunct w:val="0"/>
              <w:autoSpaceDE/>
              <w:autoSpaceDN/>
              <w:bidi w:val="0"/>
              <w:adjustRightInd/>
              <w:snapToGrid w:val="0"/>
              <w:spacing w:line="180" w:lineRule="exact"/>
              <w:jc w:val="both"/>
              <w:textAlignment w:val="center"/>
              <w:rPr>
                <w:vertAlign w:val="baseline"/>
              </w:rPr>
            </w:pPr>
            <w:r>
              <w:rPr>
                <w:rFonts w:hint="default" w:ascii="Times New Roman" w:hAnsi="Times New Roman" w:eastAsia="仿宋_GB2312" w:cs="Times New Roman"/>
                <w:color w:val="auto"/>
                <w:sz w:val="16"/>
                <w:szCs w:val="16"/>
              </w:rPr>
              <w:t>《教育部关于新形势下进一步做好普通中小学装备工作的意见》（教基一〔2016〕3号）</w:t>
            </w:r>
            <w:r>
              <w:rPr>
                <w:rFonts w:hint="default" w:ascii="Times New Roman" w:hAnsi="Times New Roman" w:eastAsia="仿宋_GB2312" w:cs="Times New Roman"/>
                <w:color w:val="auto"/>
                <w:sz w:val="16"/>
                <w:szCs w:val="16"/>
                <w:lang w:eastAsia="zh-CN"/>
              </w:rPr>
              <w:t>《宁夏回族自治区幼儿园办园条件基本标准》《宁夏回族自治区小学教育技术装备标准》《宁夏回族自治区初级中学教育技术装备标准》</w:t>
            </w:r>
          </w:p>
        </w:tc>
        <w:tc>
          <w:tcPr>
            <w:tcW w:w="1008" w:type="dxa"/>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auto"/>
                <w:sz w:val="16"/>
                <w:szCs w:val="16"/>
              </w:rPr>
            </w:pPr>
            <w:r>
              <w:rPr>
                <w:rFonts w:hint="eastAsia" w:ascii="Times New Roman" w:hAnsi="Times New Roman" w:eastAsia="仿宋_GB2312" w:cs="Times New Roman"/>
                <w:color w:val="auto"/>
                <w:sz w:val="16"/>
                <w:szCs w:val="16"/>
                <w:lang w:val="en-US" w:eastAsia="zh-CN"/>
              </w:rPr>
              <w:t>沙坡头区教育局</w:t>
            </w:r>
          </w:p>
        </w:tc>
        <w:tc>
          <w:tcPr>
            <w:tcW w:w="1716" w:type="dxa"/>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i w:val="0"/>
                <w:color w:val="000000"/>
                <w:kern w:val="0"/>
                <w:sz w:val="16"/>
                <w:szCs w:val="16"/>
                <w:u w:val="none"/>
                <w:lang w:val="en-US" w:eastAsia="zh-CN" w:bidi="ar"/>
              </w:rPr>
            </w:pPr>
            <w:r>
              <w:rPr>
                <w:rFonts w:hint="eastAsia" w:ascii="Times New Roman" w:hAnsi="Times New Roman" w:eastAsia="仿宋_GB2312" w:cs="Times New Roman"/>
                <w:i w:val="0"/>
                <w:color w:val="000000"/>
                <w:kern w:val="0"/>
                <w:sz w:val="16"/>
                <w:szCs w:val="16"/>
                <w:u w:val="none"/>
                <w:lang w:val="en-US" w:eastAsia="zh-CN" w:bidi="ar"/>
              </w:rPr>
              <w:t>区市场监管分局</w:t>
            </w:r>
          </w:p>
        </w:tc>
        <w:tc>
          <w:tcPr>
            <w:tcW w:w="1213" w:type="dxa"/>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default" w:ascii="Times New Roman" w:hAnsi="Times New Roman" w:eastAsia="仿宋_GB2312" w:cs="Times New Roman"/>
                <w:i w:val="0"/>
                <w:color w:val="000000"/>
                <w:kern w:val="0"/>
                <w:sz w:val="16"/>
                <w:szCs w:val="16"/>
                <w:u w:val="none"/>
                <w:lang w:val="en-US" w:eastAsia="zh-CN" w:bidi="ar"/>
              </w:rPr>
            </w:pPr>
            <w:r>
              <w:rPr>
                <w:rFonts w:hint="eastAsia" w:ascii="Times New Roman" w:hAnsi="Times New Roman" w:eastAsia="仿宋_GB2312" w:cs="Times New Roman"/>
                <w:i w:val="0"/>
                <w:color w:val="000000"/>
                <w:kern w:val="0"/>
                <w:sz w:val="16"/>
                <w:szCs w:val="16"/>
                <w:u w:val="none"/>
                <w:lang w:val="en-US" w:eastAsia="zh-CN" w:bidi="ar"/>
              </w:rPr>
              <w:t>2024年10月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N2U0ZGIxMGFiNzg0OWM1YzBhNTdhOTE1MDJlYTAifQ=="/>
  </w:docVars>
  <w:rsids>
    <w:rsidRoot w:val="54224C93"/>
    <w:rsid w:val="09475E50"/>
    <w:rsid w:val="2BF90622"/>
    <w:rsid w:val="48D26349"/>
    <w:rsid w:val="54224C93"/>
    <w:rsid w:val="73C2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2024-05-07T09:34:00Z</dcterms:created>
  <dc:creator>WPS_1591097323</dc:creator>
  <cp:lastModifiedBy>WPS_1591097323</cp:lastModifiedBy>
  <dcterms:modified xsi:type="dcterms:W3CDTF">2024-05-07T10:26:01Z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4AEC710CDD9F413BA703A47DD5453C22_11</vt:lpwstr>
  </property>
</Properties>
</file>