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公平竞争审查表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 月 日</w:t>
      </w:r>
    </w:p>
    <w:tbl>
      <w:tblPr>
        <w:tblStyle w:val="3"/>
        <w:tblpPr w:leftFromText="180" w:rightFromText="180" w:vertAnchor="text" w:horzAnchor="page" w:tblpXSpec="center" w:tblpY="556"/>
        <w:tblOverlap w:val="never"/>
        <w:tblW w:w="985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1294"/>
        <w:gridCol w:w="38"/>
        <w:gridCol w:w="1932"/>
        <w:gridCol w:w="49"/>
        <w:gridCol w:w="2019"/>
        <w:gridCol w:w="272"/>
        <w:gridCol w:w="195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政策名称</w:t>
            </w:r>
          </w:p>
        </w:tc>
        <w:tc>
          <w:tcPr>
            <w:tcW w:w="75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行政规范性文件      □          其他政策措施   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起草机构（机关）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审查机构（机关）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2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征求意见情况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征求利害关系人意见□      向社会公开征求意见□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22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具体情况（时间、对象、意见反馈和采纳情况）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040" w:firstLineChars="18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（可附相关报告）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法律审查意见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5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竞争影响评估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一、是否违反市场准入与退出标准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1.设置不合理和歧视性的准入与退出条件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2.未经公平竞争授予经营者特许经营权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3.限定经营、购买、使用特权经营者提供的商品和服务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4.设置没有法律法规依据的审批或者事前备案程序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5.对市场准入负面清单以外行业、领域、业务设置审批程序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二、是否违反商品要素自由流通标准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1.对外地和进口商品实行歧视性价格或补贴政策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2.限制外地和进口商品进入本地市场或阻碍本地商品运出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3.排斥或限制外地经营者参加本地招标投标活动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4.排斥限制或强制外地经营者在本地投资或设立分支机构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5.对外地经营者在本地投资或设立的分支机构实行歧视性待遇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三、是否违反影响生产经营性成本标准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1.违法给与特定经营者优惠政策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2.将财政支出安排与企业缴纳的税收或非税收入挂钩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3.违法免除特定经营者需要缴纳的社会保险费用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4.违法要求经营者提供各类保证金或扣留经营者保证金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四、是否违反影响生产经营行为标准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1.强制经营者从事《反垄断法》规定的垄断行为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2.违法披露或者要求经营者披露生产经营敏感信息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3.超越定价权限进行政府定价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4.违法干预实行市场调节价的商品服务价格水平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五、是否违法兜底条款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1.没有法律法规依据减损市场主体合法权益或者增加其义务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2.违反《反垄断法》制定含有排除限制竞争内容的政策措施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是否违反相关标准的结论（如违反，请详细说明情况）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（可附相关报告）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适用例外规定（在违反相关标准时填写）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  □       否 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  <w:jc w:val="center"/>
        </w:trPr>
        <w:tc>
          <w:tcPr>
            <w:tcW w:w="36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选择“是”时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详细说明理由</w:t>
            </w:r>
          </w:p>
        </w:tc>
        <w:tc>
          <w:tcPr>
            <w:tcW w:w="4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其他需要说明的情况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exact"/>
          <w:jc w:val="center"/>
        </w:trPr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审查机构主要负责人意见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签字：               盖章：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03EC"/>
    <w:rsid w:val="3594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2019-07-17T02:01:00Z</dcterms:created>
  <dc:creator>A陪伴是最深情的告白l＆</dc:creator>
  <cp:lastModifiedBy>A陪伴是最深情的告白l＆</cp:lastModifiedBy>
  <dcterms:modified xsi:type="dcterms:W3CDTF">2019-07-17T02:02:57Z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