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outlineLvl w:val="9"/>
        <w:rPr>
          <w:rFonts w:hint="default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5"/>
        <w:gridCol w:w="945"/>
        <w:gridCol w:w="1020"/>
        <w:gridCol w:w="945"/>
        <w:gridCol w:w="1065"/>
        <w:gridCol w:w="990"/>
        <w:gridCol w:w="930"/>
        <w:gridCol w:w="1005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8765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沙坡头区2022年农村公路水毁恢复工程项目招标事项核准意见表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内容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招标范围          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招标组织形式      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招标方式         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   招标方式  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重要设备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主要材料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2" w:hRule="atLeast"/>
        </w:trPr>
        <w:tc>
          <w:tcPr>
            <w:tcW w:w="87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其他说明事项：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ZGFhNGRlNDA3ZDRlYTZlZDM1Zjg1NWFjNGVmYWMifQ=="/>
  </w:docVars>
  <w:rsids>
    <w:rsidRoot w:val="05820A21"/>
    <w:rsid w:val="0582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2022-11-18T09:08:00Z</dcterms:created>
  <dc:creator>沙坡头区发改局收文员</dc:creator>
  <cp:lastModifiedBy>沙坡头区发改局收文员</cp:lastModifiedBy>
  <dcterms:modified xsi:type="dcterms:W3CDTF">2022-11-18T09:09:01Z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8C63CABD853F43B3B13F5EBBD4D9D6D5</vt:lpwstr>
  </property>
</Properties>
</file>