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eastAsia="zh-CN"/>
        </w:rPr>
        <w:t>沙坡头区</w:t>
      </w: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永康镇永乐村2018年巩固提高项目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竣工验收鉴定书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根据《宁夏回族自治区政府投资项目管理和责任追究办法》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宁政办发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〔2014〕99号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2019年12月11日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，沙坡头区发展和改革局会同财政局、住房城乡建设和交通局、扶贫开发办公室组成竣工验收小组，对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沙坡头区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永康镇永乐村2018年巩固提高项目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进行竣工验收，项目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设计、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监理、施工等参建单位代表参加了验收。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一、项目审批情况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日，沙坡头区发展和改革局以《关于沙坡头区永康镇永乐村2018年巩固提高项目建设方案的批复》（卫沙发改发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82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号）批准了项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目建设方案。批复主要建设内容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为架设果园围网15000米，硬化道路2.07千米，铺设面包砖22000平方米，墙体粉刷23050平方米。项目概算总投资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402.28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万元，资金来源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为中央及自治区财政扶贫资金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项目建设管理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项目建设单位为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中卫市沙坡头区永康镇人民政府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，招标代理单位为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宁夏金诚信建设工程咨询有限公司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施工单位为宁夏英利达建筑工程有限公司，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监理单位为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陕西环宇建设工程项目管理有限公司宁夏分公司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。项目在建设过程中，落实了项目法人责任制、招投标制、合同管理制、工程建设监理制。项目法人单位采取合同委托的方式确定了项目勘查设计、招标代理、监理单位，采取公开招标的方式确定了施工单位，与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相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关单位均签订了合同。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在中卫市公共资源交易中心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公开招标，中标单位为宁夏英利达建筑工程有限公司，中标3534157.8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元。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项目于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日开工建设，20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20日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完工。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2018年11月30日，永康镇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施工、监理单位进行了自查验收，验收结果为合格。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四、概算执行情况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项目批复概算总投资为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402.28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万元，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实际完成投资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366.91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万元，其中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审定工程造价3505497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.46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元，设计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费112301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元，监理费35230元，控制价编制费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16057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元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较概算结余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35.37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万元，节约率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约为8.79％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听取项目建设单位的汇报，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实地查看项目建设基本情况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查阅项目档案资料，经验收组研究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讨论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形成如下验收意见：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仿宋" w:cs="Times New Roman"/>
          <w:sz w:val="32"/>
          <w:szCs w:val="32"/>
        </w:rPr>
        <w:t>项目各项审批手续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" w:cs="Times New Roman"/>
          <w:sz w:val="32"/>
          <w:szCs w:val="32"/>
        </w:rPr>
        <w:t>齐全；工程建设执行了项目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“四制”</w:t>
      </w:r>
      <w:r>
        <w:rPr>
          <w:rFonts w:hint="default" w:ascii="Times New Roman" w:hAnsi="Times New Roman" w:eastAsia="仿宋" w:cs="Times New Roman"/>
          <w:sz w:val="32"/>
          <w:szCs w:val="32"/>
        </w:rPr>
        <w:t>管理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" w:cs="Times New Roman"/>
          <w:sz w:val="32"/>
          <w:szCs w:val="32"/>
        </w:rPr>
        <w:t>按批复的建设方案建设完成；各项档案资料齐全完善；财务管理合理规范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投资控制合理；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竣工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结算审核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原则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同意沙坡头区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永康镇永乐村2018年巩固提高项目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通过竣工验收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政府投资项目竣工验收表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4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抄送：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沙坡头区财政局、住房城乡建设和交通局、扶贫开发办公室。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中卫市沙坡头区发展和改革局             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90"/>
      <w:jc w:val="right"/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57518"/>
    <w:multiLevelType w:val="singleLevel"/>
    <w:tmpl w:val="A2A57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02CAE"/>
    <w:rsid w:val="02C27512"/>
    <w:rsid w:val="04C32C68"/>
    <w:rsid w:val="081626B9"/>
    <w:rsid w:val="114B5FEB"/>
    <w:rsid w:val="19CF5CC6"/>
    <w:rsid w:val="1E3E7376"/>
    <w:rsid w:val="21896D4C"/>
    <w:rsid w:val="232834C4"/>
    <w:rsid w:val="27F35BFA"/>
    <w:rsid w:val="29A309A2"/>
    <w:rsid w:val="2EB412FE"/>
    <w:rsid w:val="351F14CE"/>
    <w:rsid w:val="388C6C6B"/>
    <w:rsid w:val="3B6F4882"/>
    <w:rsid w:val="423B52D7"/>
    <w:rsid w:val="46702CAE"/>
    <w:rsid w:val="48AB7F60"/>
    <w:rsid w:val="4E446309"/>
    <w:rsid w:val="581D75CD"/>
    <w:rsid w:val="6E4D0F20"/>
    <w:rsid w:val="6FE07A33"/>
    <w:rsid w:val="746B6A06"/>
    <w:rsid w:val="781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6">
    <w:name w:val="页脚1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2019-12-27T00:40:00Z</dcterms:created>
  <dc:creator>赵祖艺</dc:creator>
  <cp:lastModifiedBy>花花</cp:lastModifiedBy>
  <dcterms:modified xsi:type="dcterms:W3CDTF">2020-01-02T03:33:30Z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