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沙坡头区部分乡镇贫困村人饮及插花移民、自发移民基础设施配套项目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竣工验收鉴定书</w:t>
      </w:r>
    </w:p>
    <w:bookmarkEnd w:id="0"/>
    <w:p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根据《宁夏回族自治区政府投资项目管理和责任追究办法》（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宁政办发〔2014〕99号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）相关规定，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2019年12月6日，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沙坡头区发展和改革局会同财政局、水务局、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住房城乡建设和交通局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组成竣工验收小组，对沙坡头区部分乡镇贫困村人饮及插花移民、自发移民基础设施配套项目进行竣工验收，项目建设单位、设计、监理、施工等参建单位代表参加了验收。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，中卫市沙坡头区发改局以《关于沙坡头区部分乡镇贫困村人饮及插花移民、自发移民基础设施配套项目建设方案的批复》（卫沙发改（审批）发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批准了项目建设方案。</w:t>
      </w: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，中卫市沙坡头区发改局以《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变更调整沙坡头区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部分乡镇贫困村人饮及插花移民、自发移民基础设施配套项目建设内容和投资概算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  <w:t>的批复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》（卫沙发改发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309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对项目进行调整变更，</w:t>
      </w:r>
      <w:r>
        <w:rPr>
          <w:rFonts w:hint="default" w:ascii="Times New Roman" w:hAnsi="Times New Roman" w:eastAsia="仿宋" w:cs="Times New Roman"/>
          <w:b/>
          <w:bCs/>
          <w:color w:val="auto"/>
          <w:w w:val="100"/>
          <w:sz w:val="32"/>
          <w:szCs w:val="32"/>
          <w:lang w:eastAsia="zh-CN"/>
        </w:rPr>
        <w:t>变更后建设内容：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sz w:val="32"/>
          <w:szCs w:val="32"/>
          <w:lang w:eastAsia="zh-CN"/>
        </w:rPr>
        <w:t>新建加压泵站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4座，截潜坝5座，集雨场1座，蓄水池11座，铺设各类输水管道43.94千米，砌筑各类阀井104座，集中供水房16座；砌护渠道35.32千米，配套渠道建筑物2365座；铺设排水管道2.33千米，阀井50座，新建化粪池2座，公共厕所1座；道路硬化10.69千米；墙体粉刷2302平方米，面包砖铺装1409平方米等。</w:t>
      </w:r>
      <w:r>
        <w:rPr>
          <w:rFonts w:hint="default" w:ascii="Times New Roman" w:hAnsi="Times New Roman" w:eastAsia="仿宋" w:cs="Times New Roman"/>
          <w:color w:val="auto"/>
          <w:w w:val="100"/>
          <w:sz w:val="32"/>
          <w:szCs w:val="32"/>
          <w:lang w:eastAsia="zh-CN"/>
        </w:rPr>
        <w:t>项目概算总投资由</w:t>
      </w:r>
      <w:r>
        <w:rPr>
          <w:rFonts w:hint="default" w:ascii="Times New Roman" w:hAnsi="Times New Roman" w:eastAsia="仿宋" w:cs="Times New Roman"/>
          <w:color w:val="auto"/>
          <w:w w:val="100"/>
          <w:sz w:val="32"/>
          <w:szCs w:val="32"/>
          <w:lang w:val="en-US" w:eastAsia="zh-CN"/>
        </w:rPr>
        <w:t>944.92万元变更</w:t>
      </w:r>
      <w:r>
        <w:rPr>
          <w:rFonts w:hint="default" w:ascii="Times New Roman" w:hAnsi="Times New Roman" w:eastAsia="仿宋" w:cs="Times New Roman"/>
          <w:color w:val="auto"/>
          <w:w w:val="1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" w:cs="Times New Roman"/>
          <w:color w:val="auto"/>
          <w:w w:val="100"/>
          <w:sz w:val="32"/>
          <w:szCs w:val="32"/>
          <w:lang w:val="en-US" w:eastAsia="zh-CN"/>
        </w:rPr>
        <w:t>1181.88万元，资金来源为财政专项扶贫资金1168.71万元，群众自筹资金13.17万元。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项目建设法人单位为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中卫市沙坡头区扶贫开发办公室</w:t>
      </w:r>
      <w:r>
        <w:rPr>
          <w:rFonts w:hint="default" w:ascii="Times New Roman" w:hAnsi="Times New Roman" w:eastAsia="仿宋" w:cs="Times New Roman"/>
          <w:sz w:val="32"/>
          <w:szCs w:val="32"/>
        </w:rPr>
        <w:t>，勘察设计单位为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宁夏中卫水利勘测设计有限公司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，招标代理单位为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利源项目管理咨询有限公司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中卫分公司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一标段</w:t>
      </w:r>
      <w:r>
        <w:rPr>
          <w:rFonts w:hint="default" w:ascii="Times New Roman" w:hAnsi="Times New Roman" w:eastAsia="仿宋" w:cs="Times New Roman"/>
          <w:sz w:val="32"/>
          <w:szCs w:val="32"/>
        </w:rPr>
        <w:t>施工单位为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宁夏鹏特吉建设有限公司，二标段</w:t>
      </w:r>
      <w:r>
        <w:rPr>
          <w:rFonts w:hint="default" w:ascii="Times New Roman" w:hAnsi="Times New Roman" w:eastAsia="仿宋" w:cs="Times New Roman"/>
          <w:sz w:val="32"/>
          <w:szCs w:val="32"/>
        </w:rPr>
        <w:t>施工单位为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宁夏皓顺建设有限公司，三标段</w:t>
      </w:r>
      <w:r>
        <w:rPr>
          <w:rFonts w:hint="default" w:ascii="Times New Roman" w:hAnsi="Times New Roman" w:eastAsia="仿宋" w:cs="Times New Roman"/>
          <w:sz w:val="32"/>
          <w:szCs w:val="32"/>
        </w:rPr>
        <w:t>施工单位为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宁夏禹泽兴建设工程有限公司，四标段</w:t>
      </w:r>
      <w:r>
        <w:rPr>
          <w:rFonts w:hint="default" w:ascii="Times New Roman" w:hAnsi="Times New Roman" w:eastAsia="仿宋" w:cs="Times New Roman"/>
          <w:sz w:val="32"/>
          <w:szCs w:val="32"/>
        </w:rPr>
        <w:t>施工单位为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宁夏中康建设集团有限公司，五标段</w:t>
      </w:r>
      <w:r>
        <w:rPr>
          <w:rFonts w:hint="default" w:ascii="Times New Roman" w:hAnsi="Times New Roman" w:eastAsia="仿宋" w:cs="Times New Roman"/>
          <w:sz w:val="32"/>
          <w:szCs w:val="32"/>
        </w:rPr>
        <w:t>施工单位为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宁夏鑫水源建设工程有限公司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，监理单位为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山东天柱建设监理咨询有限公司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。项目在建设过程中，落实了项目法人责任制、招投标制、合同管理制、工程建设监理制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管理规定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项目法人单位采取合同委托的方式确定了项目勘查设计、招标代理、监理单位，采取公开招标的方式确定了施工单位，与相关单位均签订了合同。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项目于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2018年10月9日，在中卫市公共资源交易中心分五个标段进行了公开招标。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项目于</w:t>
      </w: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>开工建设，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32"/>
          <w:szCs w:val="32"/>
        </w:rPr>
        <w:t>完工。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2019年7月30日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中卫市沙坡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头区扶贫开发办公室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组织勘察设计、施工、监理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四、概算执行情况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项目批复概算总投资为</w:t>
      </w:r>
      <w:r>
        <w:rPr>
          <w:rFonts w:hint="default" w:ascii="Times New Roman" w:hAnsi="Times New Roman" w:eastAsia="仿宋" w:cs="Times New Roman"/>
          <w:color w:val="auto"/>
          <w:w w:val="100"/>
          <w:sz w:val="32"/>
          <w:szCs w:val="32"/>
          <w:lang w:val="en-US" w:eastAsia="zh-CN"/>
        </w:rPr>
        <w:t>1181.88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万元，实际完成投资984.62万元，其中：审定工程造价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9423601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元，勘察设计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266400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元，控制价编制费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31113.72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元，监理费100573元，结算编制费24501元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较概算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结余197.26万元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，节约率16.69%。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五、存在问题及整改情况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部分渠道施工垃圾堆积未清理，排水井盖破损未修复。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（二）整改完成情况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2018年12月17日，根据区扶贫开发办公室《关于对永康镇贫困村基础设施配套工程等5个项目竣工验收存在问题进行整改的通知》（卫沙扶贫办发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〔2019〕139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），项目竣工验收存在问题已全部整改到位。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通过听取项目建设单位的汇报，实地查看项目建设基本情况，查阅项目档案资料和竣工验收存在问题整改完成情况的报告，经验收组研究讨论，形成如下验收意见：该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项目各项审批手续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齐全；工程建设执行了项目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“四制”</w:t>
      </w:r>
      <w:r>
        <w:rPr>
          <w:rFonts w:hint="default" w:ascii="Times New Roman" w:hAnsi="Times New Roman" w:eastAsia="仿宋" w:cs="Times New Roman"/>
          <w:sz w:val="32"/>
          <w:szCs w:val="32"/>
        </w:rPr>
        <w:t>管理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" w:cs="Times New Roman"/>
          <w:sz w:val="32"/>
          <w:szCs w:val="32"/>
        </w:rPr>
        <w:t>按批复的建设方案全部建设完成；各项档案资料齐全完善；财务管理合理规范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投资控制合理；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完成竣工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结算审核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原则同意沙坡头区部分乡镇贫困村人饮及插花移民、自发移民基础设施配套项目通过竣工验收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。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4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抄送：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沙坡头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区财政局、水务局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、住房城乡建设和交通局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中卫市沙坡头区发展和改革局             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90"/>
      <w:jc w:val="right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921AD"/>
    <w:rsid w:val="206921AD"/>
    <w:rsid w:val="25961E4D"/>
    <w:rsid w:val="275C7AEA"/>
    <w:rsid w:val="28571570"/>
    <w:rsid w:val="29C45620"/>
    <w:rsid w:val="2E4960BF"/>
    <w:rsid w:val="3031497C"/>
    <w:rsid w:val="4DB23EB6"/>
    <w:rsid w:val="5261127A"/>
    <w:rsid w:val="581B339D"/>
    <w:rsid w:val="77100849"/>
    <w:rsid w:val="7B9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6">
    <w:name w:val="页脚1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2019-12-10T06:17:00Z</dcterms:created>
  <dc:creator>赵祖艺</dc:creator>
  <cp:lastModifiedBy>花花</cp:lastModifiedBy>
  <dcterms:modified xsi:type="dcterms:W3CDTF">2020-01-02T02:59:10Z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