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ind w:left="1920" w:hanging="1920" w:hangingChars="6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8"/>
        <w:keepNext w:val="0"/>
        <w:keepLines w:val="0"/>
        <w:pageBreakBefore w:val="0"/>
        <w:widowControl w:val="0"/>
        <w:kinsoku/>
        <w:wordWrap/>
        <w:overflowPunct/>
        <w:topLinePunct w:val="0"/>
        <w:autoSpaceDE/>
        <w:autoSpaceDN/>
        <w:bidi w:val="0"/>
        <w:adjustRightInd/>
        <w:snapToGrid/>
        <w:spacing w:line="500" w:lineRule="exact"/>
        <w:ind w:left="0" w:hanging="2640" w:hangingChars="600"/>
        <w:jc w:val="both"/>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中卫市沙坡头区</w:t>
      </w:r>
      <w:r>
        <w:rPr>
          <w:rFonts w:hint="default" w:ascii="Times New Roman" w:hAnsi="Times New Roman" w:cs="Times New Roman"/>
          <w:color w:val="auto"/>
          <w:sz w:val="44"/>
          <w:szCs w:val="44"/>
          <w:lang w:val="en-US" w:eastAsia="zh-CN"/>
        </w:rPr>
        <w:t>发展和改革</w:t>
      </w:r>
      <w:r>
        <w:rPr>
          <w:rFonts w:hint="default" w:ascii="Times New Roman" w:hAnsi="Times New Roman" w:eastAsia="方正小标宋简体" w:cs="Times New Roman"/>
          <w:color w:val="auto"/>
          <w:sz w:val="44"/>
          <w:szCs w:val="44"/>
          <w:lang w:val="en-US" w:eastAsia="zh-CN"/>
        </w:rPr>
        <w:t>局“谁执法谁普法”四个清单工作分解表</w:t>
      </w:r>
    </w:p>
    <w:p>
      <w:pPr>
        <w:pStyle w:val="8"/>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rFonts w:hint="default" w:ascii="Times New Roman" w:hAnsi="Times New Roman" w:eastAsia="方正小标宋简体" w:cs="Times New Roman"/>
          <w:color w:val="auto"/>
          <w:sz w:val="44"/>
          <w:szCs w:val="44"/>
          <w:lang w:val="en-US" w:eastAsia="zh-CN"/>
        </w:rPr>
      </w:pPr>
    </w:p>
    <w:tbl>
      <w:tblPr>
        <w:tblStyle w:val="7"/>
        <w:tblpPr w:leftFromText="180" w:rightFromText="180" w:vertAnchor="text" w:tblpX="145" w:tblpY="338"/>
        <w:tblOverlap w:val="never"/>
        <w:tblW w:w="13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2895"/>
        <w:gridCol w:w="3166"/>
        <w:gridCol w:w="3309"/>
        <w:gridCol w:w="167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35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r>
              <w:rPr>
                <w:rFonts w:hint="default" w:ascii="Times New Roman" w:hAnsi="Times New Roman" w:eastAsia="黑体" w:cs="Times New Roman"/>
                <w:color w:val="000000"/>
                <w:sz w:val="24"/>
                <w:szCs w:val="24"/>
                <w:vertAlign w:val="baseline"/>
              </w:rPr>
              <w:t>序号</w:t>
            </w:r>
          </w:p>
        </w:tc>
        <w:tc>
          <w:tcPr>
            <w:tcW w:w="289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r>
              <w:rPr>
                <w:rFonts w:hint="default" w:ascii="Times New Roman" w:hAnsi="Times New Roman" w:eastAsia="黑体" w:cs="Times New Roman"/>
                <w:color w:val="000000"/>
                <w:sz w:val="24"/>
                <w:szCs w:val="24"/>
                <w:vertAlign w:val="baseline"/>
              </w:rPr>
              <w:t>内容清单</w:t>
            </w:r>
          </w:p>
        </w:tc>
        <w:tc>
          <w:tcPr>
            <w:tcW w:w="316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r>
              <w:rPr>
                <w:rFonts w:hint="default" w:ascii="Times New Roman" w:hAnsi="Times New Roman" w:eastAsia="黑体" w:cs="Times New Roman"/>
                <w:color w:val="000000"/>
                <w:sz w:val="24"/>
                <w:szCs w:val="24"/>
                <w:vertAlign w:val="baseline"/>
              </w:rPr>
              <w:t>措施清单</w:t>
            </w:r>
          </w:p>
        </w:tc>
        <w:tc>
          <w:tcPr>
            <w:tcW w:w="330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r>
              <w:rPr>
                <w:rFonts w:hint="default" w:ascii="Times New Roman" w:hAnsi="Times New Roman" w:eastAsia="黑体" w:cs="Times New Roman"/>
                <w:color w:val="000000"/>
                <w:sz w:val="24"/>
                <w:szCs w:val="24"/>
                <w:vertAlign w:val="baseline"/>
              </w:rPr>
              <w:t>标准清单</w:t>
            </w:r>
          </w:p>
        </w:tc>
        <w:tc>
          <w:tcPr>
            <w:tcW w:w="338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lang w:eastAsia="zh-CN"/>
              </w:rPr>
            </w:pPr>
            <w:r>
              <w:rPr>
                <w:rFonts w:hint="default" w:ascii="Times New Roman" w:hAnsi="Times New Roman" w:eastAsia="黑体" w:cs="Times New Roman"/>
                <w:color w:val="000000"/>
                <w:sz w:val="24"/>
                <w:szCs w:val="24"/>
                <w:vertAlign w:val="baseline"/>
                <w:lang w:eastAsia="zh-CN"/>
              </w:rPr>
              <w:t>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35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p>
        </w:tc>
        <w:tc>
          <w:tcPr>
            <w:tcW w:w="289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p>
        </w:tc>
        <w:tc>
          <w:tcPr>
            <w:tcW w:w="316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p>
        </w:tc>
        <w:tc>
          <w:tcPr>
            <w:tcW w:w="33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lang w:eastAsia="zh-CN"/>
              </w:rPr>
            </w:pPr>
            <w:r>
              <w:rPr>
                <w:rFonts w:hint="default" w:ascii="Times New Roman" w:hAnsi="Times New Roman" w:eastAsia="黑体" w:cs="Times New Roman"/>
                <w:color w:val="000000"/>
                <w:sz w:val="24"/>
                <w:szCs w:val="24"/>
                <w:vertAlign w:val="baseline"/>
                <w:lang w:eastAsia="zh-CN"/>
              </w:rPr>
              <w:t>普法责任主体</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z w:val="24"/>
                <w:szCs w:val="24"/>
                <w:vertAlign w:val="baseline"/>
                <w:lang w:eastAsia="zh-CN"/>
              </w:rPr>
            </w:pPr>
            <w:r>
              <w:rPr>
                <w:rFonts w:hint="default" w:ascii="Times New Roman" w:hAnsi="Times New Roman" w:eastAsia="黑体" w:cs="Times New Roman"/>
                <w:color w:val="000000"/>
                <w:sz w:val="24"/>
                <w:szCs w:val="24"/>
                <w:vertAlign w:val="baseline"/>
                <w:lang w:eastAsia="zh-CN"/>
              </w:rPr>
              <w:t>普法对象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5" w:hRule="atLeast"/>
        </w:trPr>
        <w:tc>
          <w:tcPr>
            <w:tcW w:w="3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1</w:t>
            </w:r>
          </w:p>
        </w:tc>
        <w:tc>
          <w:tcPr>
            <w:tcW w:w="2895" w:type="dxa"/>
            <w:vAlign w:val="center"/>
          </w:tcPr>
          <w:p>
            <w:pPr>
              <w:widowControl w:val="0"/>
              <w:tabs>
                <w:tab w:val="left" w:pos="1823"/>
              </w:tabs>
              <w:spacing w:after="0" w:afterLines="0"/>
              <w:jc w:val="left"/>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1.习近平法治思想</w:t>
            </w:r>
          </w:p>
          <w:p>
            <w:pPr>
              <w:widowControl w:val="0"/>
              <w:tabs>
                <w:tab w:val="left" w:pos="1823"/>
              </w:tabs>
              <w:spacing w:after="0" w:afterLines="0"/>
              <w:jc w:val="left"/>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2.党内法律法规、民族宗教政策等内容。</w:t>
            </w:r>
          </w:p>
          <w:p>
            <w:pPr>
              <w:widowControl w:val="0"/>
              <w:tabs>
                <w:tab w:val="left" w:pos="1823"/>
              </w:tabs>
              <w:spacing w:after="0" w:afterLines="0"/>
              <w:jc w:val="left"/>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3.《中华人民共和国民法典》</w:t>
            </w:r>
          </w:p>
          <w:p>
            <w:pPr>
              <w:widowControl w:val="0"/>
              <w:tabs>
                <w:tab w:val="left" w:pos="1823"/>
              </w:tabs>
              <w:spacing w:after="0" w:afterLines="0"/>
              <w:jc w:val="left"/>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4.《中华人民共和国宪法》</w:t>
            </w:r>
          </w:p>
          <w:p>
            <w:pPr>
              <w:widowControl w:val="0"/>
              <w:tabs>
                <w:tab w:val="left" w:pos="1823"/>
              </w:tabs>
              <w:spacing w:after="0" w:afterLines="0"/>
              <w:jc w:val="left"/>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5.《中华人民共和国保守国家秘密法》</w:t>
            </w:r>
          </w:p>
          <w:p>
            <w:pPr>
              <w:widowControl w:val="0"/>
              <w:tabs>
                <w:tab w:val="left" w:pos="1823"/>
              </w:tabs>
              <w:spacing w:after="0" w:afterLines="0"/>
              <w:jc w:val="left"/>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6.《中华人民共和国国家安全法》</w:t>
            </w:r>
          </w:p>
          <w:p>
            <w:pPr>
              <w:widowControl w:val="0"/>
              <w:numPr>
                <w:ilvl w:val="0"/>
                <w:numId w:val="0"/>
              </w:numPr>
              <w:tabs>
                <w:tab w:val="left" w:pos="1823"/>
              </w:tabs>
              <w:spacing w:after="0" w:afterLines="0"/>
              <w:jc w:val="left"/>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kern w:val="2"/>
                <w:sz w:val="24"/>
                <w:szCs w:val="24"/>
                <w:vertAlign w:val="baseline"/>
                <w:lang w:val="en-US" w:eastAsia="zh-CN" w:bidi="ar-SA"/>
              </w:rPr>
              <w:t>7.</w:t>
            </w:r>
            <w:r>
              <w:rPr>
                <w:rFonts w:hint="default" w:ascii="Times New Roman" w:hAnsi="Times New Roman" w:eastAsia="仿宋_GB2312" w:cs="Times New Roman"/>
                <w:color w:val="000000"/>
                <w:sz w:val="24"/>
                <w:szCs w:val="24"/>
                <w:vertAlign w:val="baseline"/>
              </w:rPr>
              <w:t>《</w:t>
            </w:r>
            <w:r>
              <w:rPr>
                <w:rFonts w:hint="default" w:ascii="Times New Roman" w:hAnsi="Times New Roman" w:eastAsia="仿宋_GB2312" w:cs="Times New Roman"/>
                <w:color w:val="000000"/>
                <w:sz w:val="24"/>
                <w:szCs w:val="24"/>
                <w:vertAlign w:val="baseline"/>
                <w:lang w:eastAsia="zh-CN"/>
              </w:rPr>
              <w:t>中华人民共和国</w:t>
            </w:r>
            <w:r>
              <w:rPr>
                <w:rFonts w:hint="default" w:ascii="Times New Roman" w:hAnsi="Times New Roman" w:eastAsia="仿宋_GB2312" w:cs="Times New Roman"/>
                <w:color w:val="000000"/>
                <w:sz w:val="24"/>
                <w:szCs w:val="24"/>
                <w:vertAlign w:val="baseline"/>
              </w:rPr>
              <w:t>禁毒法》</w:t>
            </w:r>
          </w:p>
          <w:p>
            <w:pPr>
              <w:pStyle w:val="2"/>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auto"/>
                <w:kern w:val="2"/>
                <w:sz w:val="24"/>
                <w:szCs w:val="24"/>
                <w:vertAlign w:val="baseline"/>
                <w:lang w:val="en-US" w:eastAsia="zh-CN" w:bidi="ar-SA"/>
              </w:rPr>
              <w:t>8.</w:t>
            </w:r>
            <w:r>
              <w:rPr>
                <w:rFonts w:hint="default" w:ascii="Times New Roman" w:hAnsi="Times New Roman" w:eastAsia="仿宋_GB2312" w:cs="Times New Roman"/>
                <w:color w:val="000000"/>
                <w:sz w:val="24"/>
                <w:szCs w:val="24"/>
                <w:vertAlign w:val="baseline"/>
                <w:lang w:val="en-US" w:eastAsia="zh-CN"/>
              </w:rPr>
              <w:t>《中华人民共和国未成年人保护法》</w:t>
            </w:r>
          </w:p>
          <w:p>
            <w:pPr>
              <w:widowControl w:val="0"/>
              <w:numPr>
                <w:ilvl w:val="0"/>
                <w:numId w:val="0"/>
              </w:numPr>
              <w:tabs>
                <w:tab w:val="left" w:pos="1823"/>
              </w:tabs>
              <w:spacing w:after="0" w:afterLines="0"/>
              <w:jc w:val="left"/>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9.《中华人民共和国行政处罚法》</w:t>
            </w:r>
          </w:p>
          <w:p>
            <w:pPr>
              <w:rPr>
                <w:rFonts w:hint="default" w:ascii="Times New Roman" w:hAnsi="Times New Roman" w:cs="Times New Roman"/>
                <w:lang w:val="en-US" w:eastAsia="zh-CN"/>
              </w:rPr>
            </w:pPr>
            <w:r>
              <w:rPr>
                <w:rFonts w:hint="default" w:ascii="Times New Roman" w:hAnsi="Times New Roman" w:eastAsia="仿宋_GB2312" w:cs="Times New Roman"/>
                <w:color w:val="000000"/>
                <w:sz w:val="24"/>
                <w:szCs w:val="24"/>
                <w:vertAlign w:val="baseline"/>
                <w:lang w:val="en-US" w:eastAsia="zh-CN"/>
              </w:rPr>
              <w:t>10.</w:t>
            </w:r>
            <w:r>
              <w:rPr>
                <w:rFonts w:hint="default" w:ascii="Times New Roman" w:hAnsi="Times New Roman" w:eastAsia="仿宋_GB2312" w:cs="Times New Roman"/>
                <w:color w:val="000000"/>
                <w:sz w:val="24"/>
                <w:szCs w:val="24"/>
                <w:vertAlign w:val="baseline"/>
                <w:lang w:eastAsia="zh-CN"/>
              </w:rPr>
              <w:t>《信访工作条例》</w:t>
            </w:r>
          </w:p>
          <w:p>
            <w:pPr>
              <w:pStyle w:val="2"/>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11.《中华人民共和国反电信网络诈骗法》</w:t>
            </w:r>
          </w:p>
          <w:p>
            <w:pPr>
              <w:pStyle w:val="2"/>
              <w:rPr>
                <w:rFonts w:hint="default" w:ascii="Times New Roman" w:hAnsi="Times New Roman" w:cs="Times New Roman"/>
                <w:lang w:val="en-US" w:eastAsia="zh-CN"/>
              </w:rPr>
            </w:pPr>
          </w:p>
          <w:p>
            <w:pPr>
              <w:pStyle w:val="2"/>
              <w:rPr>
                <w:rFonts w:hint="default" w:ascii="Times New Roman" w:hAnsi="Times New Roman" w:cs="Times New Roman"/>
              </w:rPr>
            </w:pPr>
          </w:p>
        </w:tc>
        <w:tc>
          <w:tcPr>
            <w:tcW w:w="3166" w:type="dxa"/>
            <w:vAlign w:val="center"/>
          </w:tcPr>
          <w:p>
            <w:pPr>
              <w:widowControl w:val="0"/>
              <w:tabs>
                <w:tab w:val="left" w:pos="1823"/>
              </w:tabs>
              <w:spacing w:after="0" w:afterLines="0"/>
              <w:jc w:val="both"/>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1.落实领导干部学法制度。将法律法规学习纳入干部理论学习及党组理论学习中心组计划；</w:t>
            </w:r>
          </w:p>
          <w:p>
            <w:pPr>
              <w:widowControl w:val="0"/>
              <w:tabs>
                <w:tab w:val="left" w:pos="1823"/>
              </w:tabs>
              <w:spacing w:after="0" w:afterLines="0"/>
              <w:jc w:val="left"/>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2.定期组织开展重点普法对象的法治宣传教育，及时完善法治学习相关内容，将法治宣传教育融入日常、融入工作。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kern w:val="2"/>
                <w:sz w:val="24"/>
                <w:szCs w:val="24"/>
                <w:vertAlign w:val="baseline"/>
                <w:lang w:val="en-US" w:eastAsia="zh-CN" w:bidi="ar-SA"/>
              </w:rPr>
              <w:t>3.</w:t>
            </w:r>
            <w:r>
              <w:rPr>
                <w:rFonts w:hint="default" w:ascii="Times New Roman" w:hAnsi="Times New Roman" w:eastAsia="仿宋_GB2312" w:cs="Times New Roman"/>
                <w:color w:val="auto"/>
                <w:sz w:val="24"/>
                <w:szCs w:val="24"/>
                <w:vertAlign w:val="baseline"/>
                <w:lang w:val="en-US" w:eastAsia="zh-CN"/>
              </w:rPr>
              <w:t>在做好日常学习宣传之外，把握好宪法宣传日（周）时间节点，组织宪法宣誓、宪法学习、宣传等活动，提升干部及群众的宪法知识水平。</w:t>
            </w:r>
          </w:p>
        </w:tc>
        <w:tc>
          <w:tcPr>
            <w:tcW w:w="3309"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1.健全普法工作领导机构，将普法工作与全局工作同安排、同部署、同考核。</w:t>
            </w:r>
          </w:p>
          <w:p>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2.全年党组会议会前学法不少于4次，党员干部至少开展1次习近平法治思想专题学习培训。</w:t>
            </w:r>
          </w:p>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3.</w:t>
            </w:r>
            <w:r>
              <w:rPr>
                <w:rFonts w:hint="default" w:ascii="Times New Roman" w:hAnsi="Times New Roman" w:eastAsia="仿宋_GB2312" w:cs="Times New Roman"/>
                <w:color w:val="auto"/>
                <w:sz w:val="24"/>
                <w:szCs w:val="24"/>
                <w:vertAlign w:val="baseline"/>
                <w:lang w:val="en-US" w:eastAsia="zh-CN"/>
              </w:rPr>
              <w:t>利用国家安全日、民法典颁布三周年、禁毒日、宪法日等时间节点开展主题法治宣传活动不少于4次，开展国家工作人员旁听庭审活动不少于1次，</w:t>
            </w:r>
            <w:r>
              <w:rPr>
                <w:rFonts w:hint="default" w:ascii="Times New Roman" w:hAnsi="Times New Roman" w:eastAsia="仿宋_GB2312" w:cs="Times New Roman"/>
                <w:color w:val="auto"/>
                <w:kern w:val="2"/>
                <w:sz w:val="24"/>
                <w:szCs w:val="24"/>
                <w:vertAlign w:val="baseline"/>
                <w:lang w:val="en-US" w:eastAsia="zh-CN" w:bidi="ar-SA"/>
              </w:rPr>
              <w:t>每年至少开展1次干部学法用法考试，参学率、通过率达100%。</w:t>
            </w:r>
          </w:p>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仿宋_GB2312" w:cs="Times New Roman"/>
                <w:color w:val="000000"/>
                <w:sz w:val="24"/>
                <w:szCs w:val="24"/>
                <w:vertAlign w:val="baseline"/>
                <w:lang w:val="en-US"/>
              </w:rPr>
            </w:pPr>
            <w:r>
              <w:rPr>
                <w:rFonts w:hint="default" w:ascii="Times New Roman" w:hAnsi="Times New Roman" w:eastAsia="仿宋_GB2312" w:cs="Times New Roman"/>
                <w:color w:val="auto"/>
                <w:sz w:val="24"/>
                <w:szCs w:val="24"/>
                <w:vertAlign w:val="baseline"/>
                <w:lang w:val="en-US" w:eastAsia="zh-CN"/>
              </w:rPr>
              <w:t>4.党组书记</w:t>
            </w:r>
            <w:r>
              <w:rPr>
                <w:rFonts w:hint="eastAsia" w:ascii="Times New Roman" w:hAnsi="Times New Roman" w:eastAsia="仿宋_GB2312" w:cs="Times New Roman"/>
                <w:color w:val="auto"/>
                <w:sz w:val="24"/>
                <w:szCs w:val="24"/>
                <w:vertAlign w:val="baseline"/>
                <w:lang w:val="en-US" w:eastAsia="zh-CN"/>
              </w:rPr>
              <w:t>、</w:t>
            </w:r>
            <w:r>
              <w:rPr>
                <w:rFonts w:hint="default" w:ascii="Times New Roman" w:hAnsi="Times New Roman" w:eastAsia="仿宋_GB2312" w:cs="Times New Roman"/>
                <w:color w:val="auto"/>
                <w:sz w:val="24"/>
                <w:szCs w:val="24"/>
                <w:vertAlign w:val="baseline"/>
                <w:lang w:val="en-US" w:eastAsia="zh-CN"/>
              </w:rPr>
              <w:t>局长、班子成员带头</w:t>
            </w:r>
            <w:r>
              <w:rPr>
                <w:rFonts w:hint="default" w:ascii="Times New Roman" w:hAnsi="Times New Roman" w:eastAsia="仿宋_GB2312" w:cs="Times New Roman"/>
                <w:color w:val="auto"/>
                <w:kern w:val="21"/>
                <w:sz w:val="24"/>
                <w:szCs w:val="24"/>
                <w:vertAlign w:val="baseline"/>
                <w:lang w:val="en-US" w:eastAsia="zh-CN"/>
              </w:rPr>
              <w:t>上法治课</w:t>
            </w:r>
            <w:r>
              <w:rPr>
                <w:rFonts w:hint="default" w:ascii="Times New Roman" w:hAnsi="Times New Roman" w:eastAsia="仿宋_GB2312" w:cs="Times New Roman"/>
                <w:color w:val="auto"/>
                <w:sz w:val="24"/>
                <w:szCs w:val="24"/>
                <w:vertAlign w:val="baseline"/>
                <w:lang w:val="en-US" w:eastAsia="zh-CN"/>
              </w:rPr>
              <w:t>，年终进行“四述”活动。</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kern w:val="2"/>
                <w:sz w:val="24"/>
                <w:szCs w:val="24"/>
                <w:vertAlign w:val="baseline"/>
                <w:lang w:val="en-US" w:eastAsia="zh-CN" w:bidi="ar-SA"/>
              </w:rPr>
              <w:t>办公室牵头，其他业务股室配合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auto"/>
                <w:kern w:val="2"/>
                <w:sz w:val="24"/>
                <w:szCs w:val="24"/>
                <w:vertAlign w:val="baseline"/>
                <w:lang w:val="en-US" w:eastAsia="zh-CN" w:bidi="ar-SA"/>
              </w:rPr>
              <w:t>全体干部职工及社会公众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5" w:hRule="atLeast"/>
        </w:trPr>
        <w:tc>
          <w:tcPr>
            <w:tcW w:w="3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2</w:t>
            </w:r>
          </w:p>
        </w:tc>
        <w:tc>
          <w:tcPr>
            <w:tcW w:w="28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color w:val="000000"/>
                <w:sz w:val="24"/>
                <w:szCs w:val="24"/>
                <w:vertAlign w:val="baseline"/>
                <w:lang w:val="en-US" w:eastAsia="zh-CN"/>
              </w:rPr>
              <w:t>宁夏回族自治区政府投资管理办法》</w:t>
            </w:r>
          </w:p>
          <w:p>
            <w:pPr>
              <w:pStyle w:val="2"/>
              <w:numPr>
                <w:ilvl w:val="0"/>
                <w:numId w:val="0"/>
              </w:numPr>
              <w:jc w:val="both"/>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kern w:val="2"/>
                <w:sz w:val="24"/>
                <w:szCs w:val="24"/>
                <w:lang w:val="en-US" w:eastAsia="zh-CN" w:bidi="ar-SA"/>
              </w:rPr>
              <w:t>2.《</w:t>
            </w:r>
            <w:r>
              <w:rPr>
                <w:rFonts w:hint="default" w:ascii="Times New Roman" w:hAnsi="Times New Roman" w:eastAsia="仿宋_GB2312" w:cs="Times New Roman"/>
                <w:color w:val="000000"/>
                <w:kern w:val="2"/>
                <w:sz w:val="24"/>
                <w:szCs w:val="24"/>
                <w:vertAlign w:val="baseline"/>
                <w:lang w:val="en-US" w:eastAsia="zh-CN" w:bidi="ar-SA"/>
              </w:rPr>
              <w:t>政府投资条例</w:t>
            </w:r>
            <w:r>
              <w:rPr>
                <w:rFonts w:hint="default" w:ascii="Times New Roman" w:hAnsi="Times New Roman" w:eastAsia="仿宋_GB2312" w:cs="Times New Roman"/>
                <w:color w:val="000000"/>
                <w:sz w:val="24"/>
                <w:szCs w:val="24"/>
                <w:vertAlign w:val="baseline"/>
                <w:lang w:val="en-US" w:eastAsia="zh-CN"/>
              </w:rPr>
              <w:t>》</w:t>
            </w:r>
          </w:p>
          <w:p>
            <w:pPr>
              <w:pStyle w:val="2"/>
              <w:numPr>
                <w:ilvl w:val="0"/>
                <w:numId w:val="0"/>
              </w:numPr>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3.《工程建设项目招标投标相关法律法规制度汇编》</w:t>
            </w:r>
          </w:p>
          <w:p>
            <w:p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4.《中华人民共和国国防教育法》</w:t>
            </w:r>
          </w:p>
          <w:p>
            <w:pPr>
              <w:pStyle w:val="2"/>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5.《中华人民共和国人民防空法》</w:t>
            </w:r>
          </w:p>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6.《中华人民共和国国防动员法》</w:t>
            </w:r>
          </w:p>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val="en-US" w:eastAsia="zh-CN"/>
              </w:rPr>
              <w:t>.《宁夏回族自治区建设黄河流域生态保护和高质量发展先行区促进条例》</w:t>
            </w:r>
          </w:p>
        </w:tc>
        <w:tc>
          <w:tcPr>
            <w:tcW w:w="316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仿宋_GB2312" w:cs="Times New Roman"/>
                <w:color w:val="0000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lang w:val="en-US" w:eastAsia="zh-CN"/>
              </w:rPr>
              <w:t>组织开展《宁夏回族自治区政府投资管理办法》《政府投资条例》《宁夏回族自治区招投标管理办法》等政府投资项目管理</w:t>
            </w:r>
            <w:r>
              <w:rPr>
                <w:rFonts w:hint="eastAsia" w:ascii="Times New Roman" w:hAnsi="Times New Roman" w:eastAsia="仿宋_GB2312" w:cs="Times New Roman"/>
                <w:color w:val="000000"/>
                <w:sz w:val="24"/>
                <w:szCs w:val="24"/>
                <w:vertAlign w:val="baseline"/>
                <w:lang w:val="en-US" w:eastAsia="zh-CN"/>
              </w:rPr>
              <w:t>相关政策</w:t>
            </w:r>
            <w:r>
              <w:rPr>
                <w:rFonts w:hint="default" w:ascii="Times New Roman" w:hAnsi="Times New Roman" w:eastAsia="仿宋_GB2312" w:cs="Times New Roman"/>
                <w:color w:val="000000"/>
                <w:sz w:val="24"/>
                <w:szCs w:val="24"/>
                <w:vertAlign w:val="baseline"/>
                <w:lang w:val="en-US" w:eastAsia="zh-CN"/>
              </w:rPr>
              <w:t>法规的专题培训。</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p>
        </w:tc>
        <w:tc>
          <w:tcPr>
            <w:tcW w:w="3309" w:type="dxa"/>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1..将法律法规学习纳入党组理论学习中心组中，集中学习不少于4次、有会议记录。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2.组织开展项目管理专题培训，有完整档案资料。</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kern w:val="2"/>
                <w:sz w:val="24"/>
                <w:szCs w:val="24"/>
                <w:vertAlign w:val="baseline"/>
                <w:lang w:val="en-US" w:eastAsia="zh-CN" w:bidi="ar-SA"/>
              </w:rPr>
              <w:t>项目管理股、国防动员办公室牵头，其他业务股室配合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vertAlign w:val="baseline"/>
              </w:rPr>
              <w:t>全体</w:t>
            </w:r>
            <w:r>
              <w:rPr>
                <w:rFonts w:hint="default" w:ascii="Times New Roman" w:hAnsi="Times New Roman" w:eastAsia="仿宋_GB2312" w:cs="Times New Roman"/>
                <w:color w:val="000000"/>
                <w:sz w:val="24"/>
                <w:szCs w:val="24"/>
                <w:vertAlign w:val="baseline"/>
                <w:lang w:eastAsia="zh-CN"/>
              </w:rPr>
              <w:t>干部职工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3" w:hRule="atLeast"/>
        </w:trPr>
        <w:tc>
          <w:tcPr>
            <w:tcW w:w="3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3</w:t>
            </w:r>
          </w:p>
        </w:tc>
        <w:tc>
          <w:tcPr>
            <w:tcW w:w="28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1.《优化营商环境条例》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2.《企业投资项目核准和备案管理条例》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3.《全国投资项目在线审批监管平台运行管理暂行办法》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仿宋_GB2312" w:cs="Times New Roman"/>
                <w:color w:val="000000"/>
                <w:sz w:val="24"/>
                <w:szCs w:val="24"/>
                <w:vertAlign w:val="baseline"/>
                <w:lang w:val="en-US"/>
              </w:rPr>
            </w:pPr>
            <w:r>
              <w:rPr>
                <w:rFonts w:hint="default" w:ascii="Times New Roman" w:hAnsi="Times New Roman" w:eastAsia="仿宋_GB2312" w:cs="Times New Roman"/>
                <w:sz w:val="24"/>
                <w:szCs w:val="24"/>
                <w:lang w:val="en-US" w:eastAsia="zh-CN"/>
              </w:rPr>
              <w:t>4.《宁夏回族自治区企业投资项目核准和备案管理办法》</w:t>
            </w:r>
          </w:p>
        </w:tc>
        <w:tc>
          <w:tcPr>
            <w:tcW w:w="31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sz w:val="24"/>
                <w:szCs w:val="24"/>
                <w:vertAlign w:val="baseline"/>
                <w:lang w:val="en-US" w:eastAsia="zh-CN"/>
              </w:rPr>
              <w:t>组织开展《优化营商环境条例》《全国投资项目在线审批监管平台运行管理暂行办法》《宁夏回族自治区企业投资项目核准和备案管理办法》等相关法律法规专题学习、宣传教育，</w:t>
            </w:r>
            <w:r>
              <w:rPr>
                <w:rFonts w:hint="default" w:ascii="Times New Roman" w:hAnsi="Times New Roman" w:eastAsia="仿宋_GB2312" w:cs="Times New Roman"/>
                <w:sz w:val="24"/>
                <w:szCs w:val="24"/>
                <w:vertAlign w:val="baseline"/>
                <w:lang w:val="en-US" w:eastAsia="zh-CN"/>
              </w:rPr>
              <w:t>提升依法行政能力和水平。</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p>
        </w:tc>
        <w:tc>
          <w:tcPr>
            <w:tcW w:w="3309" w:type="dxa"/>
            <w:vAlign w:val="center"/>
          </w:tcPr>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1.在履行业务职能中开展普法宣传，年内不少于2次。</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2</w:t>
            </w:r>
            <w:r>
              <w:rPr>
                <w:rFonts w:hint="default" w:ascii="Times New Roman" w:hAnsi="Times New Roman" w:eastAsia="仿宋_GB2312" w:cs="Times New Roman"/>
                <w:color w:val="auto"/>
                <w:sz w:val="24"/>
                <w:szCs w:val="24"/>
                <w:vertAlign w:val="baseline"/>
                <w:lang w:val="en-US" w:eastAsia="zh-CN"/>
              </w:rPr>
              <w:t>.利用读书班、周例会、党组</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理论学习中心组，全年学习不少于3次，有会议记录。</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r>
              <w:rPr>
                <w:rFonts w:hint="eastAsia" w:ascii="Times New Roman" w:hAnsi="Times New Roman" w:eastAsia="仿宋_GB2312" w:cs="Times New Roman"/>
                <w:color w:val="000000"/>
                <w:sz w:val="24"/>
                <w:szCs w:val="24"/>
                <w:vertAlign w:val="baseline"/>
                <w:lang w:eastAsia="zh-CN"/>
              </w:rPr>
              <w:t>由</w:t>
            </w:r>
            <w:r>
              <w:rPr>
                <w:rFonts w:hint="default" w:ascii="Times New Roman" w:hAnsi="Times New Roman" w:eastAsia="仿宋_GB2312" w:cs="Times New Roman"/>
                <w:color w:val="000000"/>
                <w:sz w:val="24"/>
                <w:szCs w:val="24"/>
                <w:vertAlign w:val="baseline"/>
                <w:lang w:eastAsia="zh-CN"/>
              </w:rPr>
              <w:t>产业投资股</w:t>
            </w:r>
            <w:r>
              <w:rPr>
                <w:rFonts w:hint="default" w:ascii="Times New Roman" w:hAnsi="Times New Roman" w:eastAsia="仿宋_GB2312" w:cs="Times New Roman"/>
                <w:color w:val="000000"/>
                <w:sz w:val="24"/>
                <w:szCs w:val="24"/>
                <w:vertAlign w:val="baseline"/>
              </w:rPr>
              <w:t>牵头，</w:t>
            </w:r>
            <w:r>
              <w:rPr>
                <w:rFonts w:hint="default" w:ascii="Times New Roman" w:hAnsi="Times New Roman" w:eastAsia="仿宋_GB2312" w:cs="Times New Roman"/>
                <w:color w:val="000000"/>
                <w:sz w:val="24"/>
                <w:szCs w:val="24"/>
                <w:vertAlign w:val="baseline"/>
                <w:lang w:eastAsia="zh-CN"/>
              </w:rPr>
              <w:t>其他业务股室</w:t>
            </w:r>
            <w:r>
              <w:rPr>
                <w:rFonts w:hint="eastAsia" w:ascii="Times New Roman" w:hAnsi="Times New Roman" w:eastAsia="仿宋_GB2312" w:cs="Times New Roman"/>
                <w:color w:val="000000"/>
                <w:sz w:val="24"/>
                <w:szCs w:val="24"/>
                <w:vertAlign w:val="baseline"/>
                <w:lang w:eastAsia="zh-CN"/>
              </w:rPr>
              <w:t>协调</w:t>
            </w:r>
            <w:r>
              <w:rPr>
                <w:rFonts w:hint="default" w:ascii="Times New Roman" w:hAnsi="Times New Roman" w:eastAsia="仿宋_GB2312" w:cs="Times New Roman"/>
                <w:color w:val="000000"/>
                <w:sz w:val="24"/>
                <w:szCs w:val="24"/>
                <w:vertAlign w:val="baseline"/>
              </w:rPr>
              <w:t>配合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rPr>
              <w:t>全体干部职工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9" w:hRule="atLeast"/>
        </w:trPr>
        <w:tc>
          <w:tcPr>
            <w:tcW w:w="3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4</w:t>
            </w:r>
          </w:p>
        </w:tc>
        <w:tc>
          <w:tcPr>
            <w:tcW w:w="2895" w:type="dxa"/>
            <w:vAlign w:val="center"/>
          </w:tcPr>
          <w:p>
            <w:pPr>
              <w:numPr>
                <w:ilvl w:val="0"/>
                <w:numId w:val="0"/>
              </w:numPr>
              <w:jc w:val="both"/>
              <w:rPr>
                <w:rFonts w:hint="default" w:ascii="Times New Roman" w:hAnsi="Times New Roman" w:eastAsia="仿宋_GB2312" w:cs="Times New Roman"/>
                <w:sz w:val="24"/>
                <w:szCs w:val="24"/>
                <w:vertAlign w:val="baseline"/>
                <w:lang w:val="en-US" w:eastAsia="zh-CN"/>
              </w:rPr>
            </w:pPr>
          </w:p>
          <w:p>
            <w:pPr>
              <w:numPr>
                <w:ilvl w:val="0"/>
                <w:numId w:val="0"/>
              </w:numPr>
              <w:jc w:val="both"/>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val="en-US" w:eastAsia="zh-CN"/>
              </w:rPr>
              <w:t>1.《中华人民共和国</w:t>
            </w:r>
            <w:r>
              <w:rPr>
                <w:rFonts w:hint="default" w:ascii="Times New Roman" w:hAnsi="Times New Roman" w:eastAsia="仿宋_GB2312" w:cs="Times New Roman"/>
                <w:sz w:val="24"/>
                <w:szCs w:val="24"/>
                <w:vertAlign w:val="baseline"/>
                <w:lang w:eastAsia="zh-CN"/>
              </w:rPr>
              <w:t>节约能源法</w:t>
            </w:r>
            <w:r>
              <w:rPr>
                <w:rFonts w:hint="default" w:ascii="Times New Roman" w:hAnsi="Times New Roman" w:eastAsia="仿宋_GB2312" w:cs="Times New Roman"/>
                <w:sz w:val="24"/>
                <w:szCs w:val="24"/>
                <w:vertAlign w:val="baseline"/>
                <w:lang w:val="en-US" w:eastAsia="zh-CN"/>
              </w:rPr>
              <w:t>》</w:t>
            </w:r>
          </w:p>
          <w:p>
            <w:pPr>
              <w:numPr>
                <w:ilvl w:val="0"/>
                <w:numId w:val="0"/>
              </w:numPr>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2.《中华人民共和国安全生产法》</w:t>
            </w:r>
          </w:p>
          <w:p>
            <w:pPr>
              <w:pStyle w:val="2"/>
              <w:rPr>
                <w:rFonts w:hint="default" w:ascii="Times New Roman" w:hAnsi="Times New Roman" w:cs="Times New Roman"/>
                <w:lang w:val="en-US" w:eastAsia="zh-CN"/>
              </w:rPr>
            </w:pPr>
            <w:r>
              <w:rPr>
                <w:rFonts w:hint="default" w:ascii="Times New Roman" w:hAnsi="Times New Roman" w:eastAsia="仿宋_GB2312" w:cs="Times New Roman"/>
                <w:sz w:val="24"/>
                <w:szCs w:val="24"/>
                <w:vertAlign w:val="baseline"/>
                <w:lang w:val="en-US" w:eastAsia="zh-CN"/>
              </w:rPr>
              <w:t>3.《宁夏回族自治区安全生产条例》</w:t>
            </w:r>
          </w:p>
          <w:p>
            <w:pPr>
              <w:numPr>
                <w:ilvl w:val="0"/>
                <w:numId w:val="0"/>
              </w:numPr>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4.《生产安全事故应急条例》</w:t>
            </w:r>
          </w:p>
          <w:p>
            <w:pPr>
              <w:pStyle w:val="2"/>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vertAlign w:val="baseline"/>
                <w:lang w:val="en-US" w:eastAsia="zh-CN"/>
              </w:rPr>
              <w:t>《中华人民共和国石油天然气管道保护法》</w:t>
            </w:r>
          </w:p>
          <w:p>
            <w:pPr>
              <w:rPr>
                <w:rFonts w:hint="default" w:ascii="Times New Roman" w:hAnsi="Times New Roman" w:cs="Times New Roman"/>
                <w:lang w:val="en-US" w:eastAsia="zh-CN"/>
              </w:rPr>
            </w:pPr>
            <w:r>
              <w:rPr>
                <w:rFonts w:hint="default" w:ascii="Times New Roman" w:hAnsi="Times New Roman" w:eastAsia="仿宋_GB2312" w:cs="Times New Roman"/>
                <w:sz w:val="24"/>
                <w:szCs w:val="24"/>
                <w:vertAlign w:val="baseline"/>
                <w:lang w:val="en-US" w:eastAsia="zh-CN"/>
              </w:rPr>
              <w:t>6.《</w:t>
            </w:r>
            <w:bookmarkStart w:id="0" w:name="_GoBack"/>
            <w:r>
              <w:rPr>
                <w:rFonts w:hint="default" w:ascii="Times New Roman" w:hAnsi="Times New Roman" w:eastAsia="仿宋_GB2312" w:cs="Times New Roman"/>
                <w:sz w:val="24"/>
                <w:szCs w:val="24"/>
                <w:vertAlign w:val="baseline"/>
                <w:lang w:val="en-US" w:eastAsia="zh-CN"/>
              </w:rPr>
              <w:t>固定资产投资项目</w:t>
            </w:r>
            <w:bookmarkEnd w:id="0"/>
            <w:r>
              <w:rPr>
                <w:rFonts w:hint="default" w:ascii="Times New Roman" w:hAnsi="Times New Roman" w:eastAsia="仿宋_GB2312" w:cs="Times New Roman"/>
                <w:sz w:val="24"/>
                <w:szCs w:val="24"/>
                <w:vertAlign w:val="baseline"/>
                <w:lang w:val="en-US" w:eastAsia="zh-CN"/>
              </w:rPr>
              <w:t>节能审查办法》</w:t>
            </w:r>
          </w:p>
          <w:p>
            <w:pPr>
              <w:pStyle w:val="4"/>
              <w:rPr>
                <w:rFonts w:hint="default" w:ascii="Times New Roman" w:hAnsi="Times New Roman" w:eastAsia="仿宋_GB2312" w:cs="Times New Roman"/>
                <w:color w:val="000000"/>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sz w:val="24"/>
                <w:szCs w:val="24"/>
                <w:vertAlign w:val="baseline"/>
              </w:rPr>
            </w:pPr>
          </w:p>
        </w:tc>
        <w:tc>
          <w:tcPr>
            <w:tcW w:w="316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sz w:val="24"/>
                <w:szCs w:val="24"/>
                <w:vertAlign w:val="baseline"/>
                <w:lang w:val="en-US" w:eastAsia="zh-CN"/>
              </w:rPr>
              <w:t>深入企业组织开展《</w:t>
            </w:r>
            <w:r>
              <w:rPr>
                <w:rFonts w:hint="default" w:ascii="Times New Roman" w:hAnsi="Times New Roman" w:eastAsia="仿宋_GB2312" w:cs="Times New Roman"/>
                <w:sz w:val="24"/>
                <w:szCs w:val="24"/>
                <w:vertAlign w:val="baseline"/>
                <w:lang w:val="en-US" w:eastAsia="zh-CN"/>
              </w:rPr>
              <w:t>中华人民共和国安全生产法</w:t>
            </w:r>
            <w:r>
              <w:rPr>
                <w:rFonts w:hint="eastAsia"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color w:val="auto"/>
                <w:sz w:val="24"/>
                <w:szCs w:val="24"/>
                <w:vertAlign w:val="baseline"/>
                <w:lang w:val="en-US" w:eastAsia="zh-CN"/>
              </w:rPr>
              <w:t>《</w:t>
            </w:r>
            <w:r>
              <w:rPr>
                <w:rFonts w:hint="eastAsia" w:ascii="Times New Roman" w:hAnsi="Times New Roman" w:eastAsia="仿宋_GB2312" w:cs="Times New Roman"/>
                <w:color w:val="auto"/>
                <w:sz w:val="24"/>
                <w:szCs w:val="24"/>
                <w:vertAlign w:val="baseline"/>
                <w:lang w:val="en-US" w:eastAsia="zh-CN"/>
              </w:rPr>
              <w:t>中华人民共和国</w:t>
            </w:r>
            <w:r>
              <w:rPr>
                <w:rFonts w:hint="default" w:ascii="Times New Roman" w:hAnsi="Times New Roman" w:eastAsia="仿宋_GB2312" w:cs="Times New Roman"/>
                <w:color w:val="auto"/>
                <w:sz w:val="24"/>
                <w:szCs w:val="24"/>
                <w:vertAlign w:val="baseline"/>
                <w:lang w:val="en-US" w:eastAsia="zh-CN"/>
              </w:rPr>
              <w:t>节约能源法》《</w:t>
            </w:r>
            <w:r>
              <w:rPr>
                <w:rFonts w:hint="default" w:ascii="Times New Roman" w:hAnsi="Times New Roman" w:eastAsia="仿宋_GB2312" w:cs="Times New Roman"/>
                <w:sz w:val="24"/>
                <w:szCs w:val="24"/>
                <w:vertAlign w:val="baseline"/>
                <w:lang w:val="en-US" w:eastAsia="zh-CN"/>
              </w:rPr>
              <w:t>生产安全事故应急条例</w:t>
            </w:r>
            <w:r>
              <w:rPr>
                <w:rFonts w:hint="default" w:ascii="Times New Roman" w:hAnsi="Times New Roman" w:eastAsia="仿宋_GB2312" w:cs="Times New Roman"/>
                <w:color w:val="auto"/>
                <w:sz w:val="24"/>
                <w:szCs w:val="24"/>
                <w:vertAlign w:val="baseline"/>
                <w:lang w:val="en-US" w:eastAsia="zh-CN"/>
              </w:rPr>
              <w:t>》等法律法规宣传活动，结合“以案说法”进行法律知识学习，讲身边的人和事，推动以案释法的制度化、规范化和常态化。</w:t>
            </w:r>
          </w:p>
        </w:tc>
        <w:tc>
          <w:tcPr>
            <w:tcW w:w="33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1.</w:t>
            </w:r>
            <w:r>
              <w:rPr>
                <w:rFonts w:hint="default" w:ascii="Times New Roman" w:hAnsi="Times New Roman" w:eastAsia="仿宋_GB2312" w:cs="Times New Roman"/>
                <w:color w:val="000000"/>
                <w:sz w:val="24"/>
                <w:szCs w:val="24"/>
                <w:vertAlign w:val="baseline"/>
                <w:lang w:eastAsia="zh-CN"/>
              </w:rPr>
              <w:t>持续推进法律进机关、进企业，扎实开展普法宣传教育活动，每年到企业宣传《中华人民共和国安全生产法》</w:t>
            </w:r>
            <w:r>
              <w:rPr>
                <w:rFonts w:hint="default" w:ascii="Times New Roman" w:hAnsi="Times New Roman" w:eastAsia="仿宋_GB2312" w:cs="Times New Roman"/>
                <w:sz w:val="24"/>
                <w:szCs w:val="24"/>
                <w:vertAlign w:val="baseline"/>
                <w:lang w:val="en-US" w:eastAsia="zh-CN"/>
              </w:rPr>
              <w:t>《生产安全事故应急条例》等</w:t>
            </w:r>
            <w:r>
              <w:rPr>
                <w:rFonts w:hint="default" w:ascii="Times New Roman" w:hAnsi="Times New Roman" w:eastAsia="仿宋_GB2312" w:cs="Times New Roman"/>
                <w:color w:val="000000"/>
                <w:sz w:val="24"/>
                <w:szCs w:val="24"/>
                <w:vertAlign w:val="baseline"/>
                <w:lang w:eastAsia="zh-CN"/>
              </w:rPr>
              <w:t>法规条例不少于</w:t>
            </w:r>
            <w:r>
              <w:rPr>
                <w:rFonts w:hint="default" w:ascii="Times New Roman" w:hAnsi="Times New Roman" w:eastAsia="仿宋_GB2312" w:cs="Times New Roman"/>
                <w:color w:val="000000"/>
                <w:kern w:val="2"/>
                <w:sz w:val="24"/>
                <w:szCs w:val="24"/>
                <w:vertAlign w:val="baseline"/>
                <w:lang w:val="en-US" w:eastAsia="zh-CN" w:bidi="ar-SA"/>
              </w:rPr>
              <w:t>2</w:t>
            </w:r>
            <w:r>
              <w:rPr>
                <w:rFonts w:hint="default" w:ascii="Times New Roman" w:hAnsi="Times New Roman" w:eastAsia="仿宋_GB2312" w:cs="Times New Roman"/>
                <w:color w:val="000000"/>
                <w:sz w:val="24"/>
                <w:szCs w:val="24"/>
                <w:vertAlign w:val="baseline"/>
                <w:lang w:val="en-US" w:eastAsia="zh-CN"/>
              </w:rPr>
              <w:t>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2.组织局机关全体干部职工集中</w:t>
            </w:r>
            <w:r>
              <w:rPr>
                <w:rFonts w:hint="eastAsia" w:ascii="Times New Roman" w:hAnsi="Times New Roman" w:eastAsia="仿宋_GB2312" w:cs="Times New Roman"/>
                <w:color w:val="000000"/>
                <w:sz w:val="24"/>
                <w:szCs w:val="24"/>
                <w:vertAlign w:val="baseline"/>
                <w:lang w:val="en-US" w:eastAsia="zh-CN"/>
              </w:rPr>
              <w:t>学习</w:t>
            </w:r>
            <w:r>
              <w:rPr>
                <w:rFonts w:hint="default" w:ascii="Times New Roman" w:hAnsi="Times New Roman" w:eastAsia="仿宋_GB2312" w:cs="Times New Roman"/>
                <w:color w:val="000000"/>
                <w:sz w:val="24"/>
                <w:szCs w:val="24"/>
                <w:vertAlign w:val="baseline"/>
                <w:lang w:val="en-US" w:eastAsia="zh-CN"/>
              </w:rPr>
              <w:t>，全年学习不少于2次，有会议</w:t>
            </w:r>
            <w:r>
              <w:rPr>
                <w:rFonts w:hint="eastAsia" w:ascii="Times New Roman" w:hAnsi="Times New Roman" w:eastAsia="仿宋_GB2312" w:cs="Times New Roman"/>
                <w:color w:val="000000"/>
                <w:sz w:val="24"/>
                <w:szCs w:val="24"/>
                <w:vertAlign w:val="baseline"/>
                <w:lang w:val="en-US" w:eastAsia="zh-CN"/>
              </w:rPr>
              <w:t>记录</w:t>
            </w:r>
            <w:r>
              <w:rPr>
                <w:rFonts w:hint="default" w:ascii="Times New Roman" w:hAnsi="Times New Roman" w:eastAsia="仿宋_GB2312" w:cs="Times New Roman"/>
                <w:color w:val="000000"/>
                <w:sz w:val="24"/>
                <w:szCs w:val="24"/>
                <w:vertAlign w:val="baseline"/>
                <w:lang w:val="en-US" w:eastAsia="zh-CN"/>
              </w:rPr>
              <w:t>。</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lang w:eastAsia="zh-CN"/>
              </w:rPr>
              <w:t>能源产业办公室</w:t>
            </w:r>
            <w:r>
              <w:rPr>
                <w:rFonts w:hint="default" w:ascii="Times New Roman" w:hAnsi="Times New Roman" w:eastAsia="仿宋_GB2312" w:cs="Times New Roman"/>
                <w:color w:val="000000"/>
                <w:sz w:val="24"/>
                <w:szCs w:val="24"/>
                <w:vertAlign w:val="baseline"/>
              </w:rPr>
              <w:t>牵头，</w:t>
            </w:r>
            <w:r>
              <w:rPr>
                <w:rFonts w:hint="default" w:ascii="Times New Roman" w:hAnsi="Times New Roman" w:eastAsia="仿宋_GB2312" w:cs="Times New Roman"/>
                <w:color w:val="000000"/>
                <w:sz w:val="24"/>
                <w:szCs w:val="24"/>
                <w:vertAlign w:val="baseline"/>
                <w:lang w:eastAsia="zh-CN"/>
              </w:rPr>
              <w:t>其他业务股室</w:t>
            </w:r>
            <w:r>
              <w:rPr>
                <w:rFonts w:hint="default" w:ascii="Times New Roman" w:hAnsi="Times New Roman" w:eastAsia="仿宋_GB2312" w:cs="Times New Roman"/>
                <w:color w:val="000000"/>
                <w:sz w:val="24"/>
                <w:szCs w:val="24"/>
                <w:vertAlign w:val="baseline"/>
              </w:rPr>
              <w:t>配合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rPr>
              <w:t>全体</w:t>
            </w:r>
            <w:r>
              <w:rPr>
                <w:rFonts w:hint="default" w:ascii="Times New Roman" w:hAnsi="Times New Roman" w:eastAsia="仿宋_GB2312" w:cs="Times New Roman"/>
                <w:color w:val="000000"/>
                <w:sz w:val="24"/>
                <w:szCs w:val="24"/>
                <w:vertAlign w:val="baseline"/>
                <w:lang w:eastAsia="zh-CN"/>
              </w:rPr>
              <w:t>干部职工及企业人员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0" w:hRule="atLeast"/>
        </w:trPr>
        <w:tc>
          <w:tcPr>
            <w:tcW w:w="3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5</w:t>
            </w:r>
          </w:p>
        </w:tc>
        <w:tc>
          <w:tcPr>
            <w:tcW w:w="2895" w:type="dxa"/>
            <w:vAlign w:val="center"/>
          </w:tcPr>
          <w:p>
            <w:pPr>
              <w:numPr>
                <w:ilvl w:val="0"/>
                <w:numId w:val="0"/>
              </w:numPr>
              <w:jc w:val="both"/>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val="en-US" w:eastAsia="zh-CN"/>
              </w:rPr>
              <w:t>1.《</w:t>
            </w:r>
            <w:r>
              <w:rPr>
                <w:rFonts w:hint="default" w:ascii="Times New Roman" w:hAnsi="Times New Roman" w:eastAsia="仿宋_GB2312" w:cs="Times New Roman"/>
                <w:sz w:val="24"/>
                <w:szCs w:val="24"/>
                <w:vertAlign w:val="baseline"/>
                <w:lang w:eastAsia="zh-CN"/>
              </w:rPr>
              <w:t>粮食流通管理条例</w:t>
            </w:r>
            <w:r>
              <w:rPr>
                <w:rFonts w:hint="default" w:ascii="Times New Roman" w:hAnsi="Times New Roman" w:eastAsia="仿宋_GB2312" w:cs="Times New Roman"/>
                <w:sz w:val="24"/>
                <w:szCs w:val="24"/>
                <w:vertAlign w:val="baseline"/>
                <w:lang w:val="en-US" w:eastAsia="zh-CN"/>
              </w:rPr>
              <w:t xml:space="preserve"> 》</w:t>
            </w:r>
          </w:p>
          <w:p>
            <w:pPr>
              <w:numPr>
                <w:ilvl w:val="0"/>
                <w:numId w:val="0"/>
              </w:numPr>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2.《中卫市地方储备粮管理办法》</w:t>
            </w:r>
          </w:p>
          <w:p>
            <w:pPr>
              <w:numPr>
                <w:ilvl w:val="0"/>
                <w:numId w:val="0"/>
              </w:numPr>
              <w:jc w:val="both"/>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sz w:val="24"/>
                <w:szCs w:val="24"/>
                <w:vertAlign w:val="baseline"/>
                <w:lang w:val="en-US" w:eastAsia="zh-CN"/>
              </w:rPr>
              <w:t>3.《中华人民共和国食品安全法》</w:t>
            </w:r>
          </w:p>
        </w:tc>
        <w:tc>
          <w:tcPr>
            <w:tcW w:w="3166" w:type="dxa"/>
            <w:vAlign w:val="center"/>
          </w:tcPr>
          <w:p>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1.认真学习《粮食流通管理条例》《中卫市地方储备粮管理办法》等法规条例。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2.开展粮食安全检查。</w:t>
            </w:r>
          </w:p>
        </w:tc>
        <w:tc>
          <w:tcPr>
            <w:tcW w:w="330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cs="Times New Roman"/>
                <w:lang w:eastAsia="zh-CN"/>
              </w:rPr>
            </w:pPr>
            <w:r>
              <w:rPr>
                <w:rFonts w:hint="default" w:ascii="Times New Roman" w:hAnsi="Times New Roman" w:eastAsia="仿宋_GB2312" w:cs="Times New Roman"/>
                <w:color w:val="auto"/>
                <w:kern w:val="2"/>
                <w:sz w:val="24"/>
                <w:szCs w:val="24"/>
                <w:vertAlign w:val="baseline"/>
                <w:lang w:val="en-US" w:eastAsia="zh-CN" w:bidi="ar-SA"/>
              </w:rPr>
              <w:t>1.</w:t>
            </w:r>
            <w:r>
              <w:rPr>
                <w:rFonts w:hint="default" w:ascii="Times New Roman" w:hAnsi="Times New Roman" w:eastAsia="仿宋_GB2312" w:cs="Times New Roman"/>
                <w:color w:val="000000"/>
                <w:sz w:val="24"/>
                <w:szCs w:val="24"/>
                <w:vertAlign w:val="baseline"/>
                <w:lang w:val="en-US" w:eastAsia="zh-CN"/>
              </w:rPr>
              <w:t>组织全体干部职工集中学法，全年不少于2次，有会议</w:t>
            </w:r>
            <w:r>
              <w:rPr>
                <w:rFonts w:hint="eastAsia" w:ascii="Times New Roman" w:hAnsi="Times New Roman" w:eastAsia="仿宋_GB2312" w:cs="Times New Roman"/>
                <w:color w:val="000000"/>
                <w:sz w:val="24"/>
                <w:szCs w:val="24"/>
                <w:vertAlign w:val="baseline"/>
                <w:lang w:val="en-US" w:eastAsia="zh-CN"/>
              </w:rPr>
              <w:t>记录</w:t>
            </w:r>
            <w:r>
              <w:rPr>
                <w:rFonts w:hint="default" w:ascii="Times New Roman" w:hAnsi="Times New Roman" w:eastAsia="仿宋_GB2312" w:cs="Times New Roman"/>
                <w:color w:val="000000"/>
                <w:sz w:val="24"/>
                <w:szCs w:val="24"/>
                <w:vertAlign w:val="baseline"/>
                <w:lang w:val="en-US" w:eastAsia="zh-CN"/>
              </w:rPr>
              <w:t>。</w:t>
            </w:r>
          </w:p>
          <w:p>
            <w:pPr>
              <w:pStyle w:val="2"/>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24"/>
                <w:szCs w:val="24"/>
                <w:vertAlign w:val="baseline"/>
                <w:lang w:val="en-US" w:eastAsia="zh-CN" w:bidi="ar-SA"/>
              </w:rPr>
              <w:t>2.</w:t>
            </w:r>
            <w:r>
              <w:rPr>
                <w:rFonts w:hint="default" w:ascii="Times New Roman" w:hAnsi="Times New Roman" w:eastAsia="仿宋_GB2312" w:cs="Times New Roman"/>
                <w:color w:val="000000"/>
                <w:sz w:val="24"/>
                <w:szCs w:val="24"/>
                <w:vertAlign w:val="baseline"/>
                <w:lang w:val="en-US" w:eastAsia="zh-CN"/>
              </w:rPr>
              <w:t>利用世界粮食日、食品安全宣传周等活动，年内宣传不少于2次。</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default" w:ascii="Times New Roman" w:hAnsi="Times New Roman" w:eastAsia="仿宋_GB2312" w:cs="Times New Roman"/>
                <w:color w:val="000000"/>
                <w:kern w:val="2"/>
                <w:sz w:val="24"/>
                <w:szCs w:val="24"/>
                <w:vertAlign w:val="baseline"/>
                <w:lang w:val="en-US" w:eastAsia="zh-CN" w:bidi="ar-SA"/>
              </w:rPr>
            </w:pPr>
            <w:r>
              <w:rPr>
                <w:rFonts w:hint="default" w:ascii="Times New Roman" w:hAnsi="Times New Roman" w:eastAsia="仿宋_GB2312" w:cs="Times New Roman"/>
                <w:color w:val="000000"/>
                <w:sz w:val="24"/>
                <w:szCs w:val="24"/>
                <w:vertAlign w:val="baseline"/>
                <w:lang w:eastAsia="zh-CN"/>
              </w:rPr>
              <w:t>粮食管理办公室</w:t>
            </w:r>
            <w:r>
              <w:rPr>
                <w:rFonts w:hint="default" w:ascii="Times New Roman" w:hAnsi="Times New Roman" w:eastAsia="仿宋_GB2312" w:cs="Times New Roman"/>
                <w:color w:val="000000"/>
                <w:sz w:val="24"/>
                <w:szCs w:val="24"/>
                <w:vertAlign w:val="baseline"/>
              </w:rPr>
              <w:t>牵头，</w:t>
            </w:r>
            <w:r>
              <w:rPr>
                <w:rFonts w:hint="default" w:ascii="Times New Roman" w:hAnsi="Times New Roman" w:eastAsia="仿宋_GB2312" w:cs="Times New Roman"/>
                <w:color w:val="000000"/>
                <w:sz w:val="24"/>
                <w:szCs w:val="24"/>
                <w:vertAlign w:val="baseline"/>
                <w:lang w:eastAsia="zh-CN"/>
              </w:rPr>
              <w:t>其他业务股室</w:t>
            </w:r>
            <w:r>
              <w:rPr>
                <w:rFonts w:hint="default" w:ascii="Times New Roman" w:hAnsi="Times New Roman" w:eastAsia="仿宋_GB2312" w:cs="Times New Roman"/>
                <w:color w:val="000000"/>
                <w:sz w:val="24"/>
                <w:szCs w:val="24"/>
                <w:vertAlign w:val="baseline"/>
              </w:rPr>
              <w:t>配合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rPr>
              <w:t>全体干部职工</w:t>
            </w:r>
            <w:r>
              <w:rPr>
                <w:rFonts w:hint="default" w:ascii="Times New Roman" w:hAnsi="Times New Roman" w:eastAsia="仿宋_GB2312" w:cs="Times New Roman"/>
                <w:color w:val="auto"/>
                <w:kern w:val="2"/>
                <w:sz w:val="24"/>
                <w:szCs w:val="24"/>
                <w:vertAlign w:val="baseline"/>
                <w:lang w:val="en-US" w:eastAsia="zh-CN" w:bidi="ar-SA"/>
              </w:rPr>
              <w:t>及社会公众</w:t>
            </w:r>
          </w:p>
        </w:tc>
      </w:tr>
    </w:tbl>
    <w:p>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w w:val="96"/>
          <w:sz w:val="24"/>
          <w:szCs w:val="24"/>
          <w:lang w:val="en-US" w:eastAsia="zh-CN"/>
        </w:rPr>
        <w:sectPr>
          <w:footerReference r:id="rId4" w:type="first"/>
          <w:footerReference r:id="rId3" w:type="default"/>
          <w:pgSz w:w="16838" w:h="11906" w:orient="landscape"/>
          <w:pgMar w:top="1587" w:right="2041" w:bottom="1474" w:left="1757" w:header="851" w:footer="992" w:gutter="0"/>
          <w:pgNumType w:fmt="numberInDash" w:start="2"/>
          <w:cols w:space="720" w:num="1"/>
          <w:titlePg/>
          <w:rtlGutter w:val="0"/>
          <w:docGrid w:type="lines" w:linePitch="31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327C1"/>
    <w:rsid w:val="01C50730"/>
    <w:rsid w:val="16207744"/>
    <w:rsid w:val="18041209"/>
    <w:rsid w:val="1C847366"/>
    <w:rsid w:val="2397437A"/>
    <w:rsid w:val="282C28A8"/>
    <w:rsid w:val="2FC44B9D"/>
    <w:rsid w:val="44BB2A3F"/>
    <w:rsid w:val="637A28E1"/>
    <w:rsid w:val="744E62A8"/>
    <w:rsid w:val="75F3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rPr>
  </w:style>
  <w:style w:type="paragraph" w:styleId="3">
    <w:name w:val="Body Text Indent"/>
    <w:basedOn w:val="1"/>
    <w:uiPriority w:val="0"/>
    <w:pPr>
      <w:spacing w:after="120" w:afterLines="0" w:afterAutospacing="0"/>
      <w:ind w:left="420" w:leftChars="200"/>
    </w:pPr>
  </w:style>
  <w:style w:type="paragraph" w:styleId="4">
    <w:name w:val="Body Text First Indent 2"/>
    <w:basedOn w:val="3"/>
    <w:uiPriority w:val="0"/>
    <w:pPr>
      <w:ind w:firstLine="420" w:firstLineChars="200"/>
    </w:p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目录1.1"/>
    <w:basedOn w:val="9"/>
    <w:qFormat/>
    <w:uiPriority w:val="0"/>
    <w:pPr>
      <w:ind w:firstLine="0" w:firstLineChars="0"/>
      <w:jc w:val="center"/>
    </w:pPr>
    <w:rPr>
      <w:rFonts w:ascii="Times New Roman" w:hAnsi="Times New Roman" w:eastAsia="方正小标宋简体"/>
      <w:sz w:val="44"/>
      <w:szCs w:val="44"/>
    </w:rPr>
  </w:style>
  <w:style w:type="paragraph" w:customStyle="1" w:styleId="9">
    <w:name w:val="排版正文"/>
    <w:basedOn w:val="1"/>
    <w:qFormat/>
    <w:uiPriority w:val="0"/>
    <w:pPr>
      <w:spacing w:line="600" w:lineRule="exact"/>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2024-01-08T02:47:00Z</dcterms:created>
  <dc:creator>Administrator</dc:creator>
  <cp:lastModifiedBy>Administrator</cp:lastModifiedBy>
  <dcterms:modified xsi:type="dcterms:W3CDTF">2024-01-08T03:17:49Z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