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000000"/>
          <w:sz w:val="32"/>
          <w:szCs w:val="40"/>
          <w:lang w:val="en-US" w:eastAsia="zh-CN"/>
        </w:rPr>
      </w:pPr>
      <w:r>
        <w:rPr>
          <w:rFonts w:hint="default" w:ascii="Times New Roman" w:hAnsi="Times New Roman" w:eastAsia="黑体" w:cs="Times New Roman"/>
          <w:color w:val="000000"/>
          <w:sz w:val="32"/>
          <w:szCs w:val="40"/>
          <w:lang w:val="en-US"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b/>
          <w:bCs/>
          <w:spacing w:val="0"/>
          <w:kern w:val="2"/>
          <w:sz w:val="32"/>
          <w:szCs w:val="32"/>
          <w:lang w:val="en-US" w:eastAsia="zh-CN" w:bidi="ar-SA"/>
        </w:rPr>
      </w:pPr>
      <w:bookmarkStart w:id="0" w:name="_GoBack"/>
      <w:r>
        <w:rPr>
          <w:rFonts w:hint="default" w:ascii="Times New Roman" w:hAnsi="Times New Roman" w:eastAsia="方正小标宋_GBK" w:cs="Times New Roman"/>
          <w:sz w:val="44"/>
          <w:szCs w:val="44"/>
        </w:rPr>
        <w:t>规范餐饮市场价格行为促进餐饮业高质量发展实施方案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贯彻落实自治区扩内需促消费决策部署，全面整治</w:t>
      </w:r>
      <w:r>
        <w:rPr>
          <w:rFonts w:hint="default" w:ascii="Times New Roman" w:hAnsi="Times New Roman" w:eastAsia="仿宋_GB2312" w:cs="Times New Roman"/>
          <w:sz w:val="32"/>
          <w:szCs w:val="32"/>
        </w:rPr>
        <w:t>群众反映强烈的餐饮业价格不规范行为，加强政府监管和企业自律，维护公平诚信的餐饮市场价格秩</w:t>
      </w:r>
      <w:r>
        <w:rPr>
          <w:rFonts w:hint="default" w:ascii="Times New Roman" w:hAnsi="Times New Roman" w:eastAsia="仿宋_GB2312" w:cs="Times New Roman"/>
          <w:spacing w:val="-6"/>
          <w:sz w:val="32"/>
          <w:szCs w:val="32"/>
        </w:rPr>
        <w:t>序，营造良好消费环境，促进餐饮业高质量发展，</w:t>
      </w:r>
      <w:r>
        <w:rPr>
          <w:rFonts w:hint="default" w:ascii="Times New Roman" w:hAnsi="Times New Roman" w:eastAsia="仿宋_GB2312" w:cs="Times New Roman"/>
          <w:spacing w:val="-6"/>
          <w:sz w:val="32"/>
          <w:szCs w:val="32"/>
          <w:lang w:eastAsia="zh-CN"/>
        </w:rPr>
        <w:t>结合沙坡头区实际，</w:t>
      </w:r>
      <w:r>
        <w:rPr>
          <w:rFonts w:hint="default" w:ascii="Times New Roman" w:hAnsi="Times New Roman" w:eastAsia="仿宋_GB2312" w:cs="Times New Roman"/>
          <w:spacing w:val="-6"/>
          <w:sz w:val="32"/>
          <w:szCs w:val="32"/>
        </w:rPr>
        <w:t>制定本实施方</w:t>
      </w:r>
      <w:r>
        <w:rPr>
          <w:rFonts w:hint="default" w:ascii="Times New Roman" w:hAnsi="Times New Roman" w:eastAsia="仿宋_GB2312" w:cs="Times New Roman"/>
          <w:sz w:val="32"/>
          <w:szCs w:val="32"/>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经营行为自主和主动接受监督、符合价值规律和获取合法利润、整治突出问题和完善长效机制原则，稳定餐饮业价格水平，优化餐饮业发展环境，释放餐饮消费潜力，促进餐饮业提升菜品品牌、提供特色品种、提高服务品质，更好满足人民日益增长的美好生活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（一）宣传动员阶段（2024年5月20日前）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开展规范定价倡议活动。</w:t>
      </w:r>
      <w:r>
        <w:rPr>
          <w:rFonts w:hint="default" w:ascii="Times New Roman" w:hAnsi="Times New Roman" w:eastAsia="仿宋_GB2312" w:cs="Times New Roman"/>
          <w:sz w:val="32"/>
          <w:szCs w:val="32"/>
          <w:lang w:eastAsia="zh-CN"/>
        </w:rPr>
        <w:t>由市场监管部门会同工信和商务、文旅部门印发</w:t>
      </w:r>
      <w:r>
        <w:rPr>
          <w:rFonts w:hint="default" w:ascii="Times New Roman" w:hAnsi="Times New Roman" w:eastAsia="仿宋_GB2312" w:cs="Times New Roman"/>
          <w:sz w:val="32"/>
          <w:szCs w:val="32"/>
        </w:rPr>
        <w:t>《规范餐饮行业价格标示行为倡议书》，组织开展价格法律法规和明码标价主题</w:t>
      </w:r>
      <w:r>
        <w:rPr>
          <w:rFonts w:hint="default"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活动，倡导餐饮经营主体积极承担社会责任，合理制定价格、规范明码标价、依法诚信经营。采取座谈交流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实地走访等方式与餐饮经营者充分沟通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引导餐饮经营者加强行业自律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规范价格行为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丰富供餐形式，合理配置小分量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多规格的菜品、饮品等，推出半份菜、小份菜、单人餐等平价亲民菜品，满足不同群体多样化消费需求。</w:t>
      </w:r>
      <w:r>
        <w:rPr>
          <w:rFonts w:hint="default" w:ascii="Times New Roman" w:hAnsi="Times New Roman" w:eastAsia="仿宋_GB2312" w:cs="Times New Roman"/>
          <w:b/>
          <w:bCs/>
          <w:sz w:val="32"/>
          <w:szCs w:val="32"/>
          <w:lang w:eastAsia="zh-CN"/>
        </w:rPr>
        <w:t>（牵头单位：区市场监管分局、工信和商务局；责任单位：区旅游和文体广电局、发改局）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2.加大特色餐饮宣传推介。</w:t>
      </w:r>
      <w:r>
        <w:rPr>
          <w:rFonts w:hint="default" w:ascii="Times New Roman" w:hAnsi="Times New Roman" w:eastAsia="仿宋_GB2312" w:cs="Times New Roman"/>
          <w:sz w:val="32"/>
          <w:szCs w:val="32"/>
        </w:rPr>
        <w:t>深入挖掘传统烹饪技艺和餐饮文化，培育“名菜”“名小吃”“名厨”“名店”，加强老字号餐饮品牌宣传推介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保护“蒿子面”“</w:t>
      </w:r>
      <w:r>
        <w:rPr>
          <w:rFonts w:hint="default" w:ascii="Times New Roman" w:hAnsi="Times New Roman" w:eastAsia="仿宋_GB2312" w:cs="Times New Roman"/>
          <w:sz w:val="32"/>
          <w:szCs w:val="32"/>
          <w:lang w:eastAsia="zh-CN"/>
        </w:rPr>
        <w:t>扁豆子面</w:t>
      </w:r>
      <w:r>
        <w:rPr>
          <w:rFonts w:hint="default" w:ascii="Times New Roman" w:hAnsi="Times New Roman" w:eastAsia="仿宋_GB2312" w:cs="Times New Roman"/>
          <w:sz w:val="32"/>
          <w:szCs w:val="32"/>
        </w:rPr>
        <w:t>”等饮食类非遗项目。建立地方特色美食目录，打造“美食名村”“美食名</w:t>
      </w:r>
      <w:r>
        <w:rPr>
          <w:rFonts w:hint="default" w:ascii="Times New Roman" w:hAnsi="Times New Roman" w:eastAsia="仿宋_GB2312" w:cs="Times New Roman"/>
          <w:sz w:val="32"/>
          <w:szCs w:val="32"/>
          <w:lang w:eastAsia="zh-CN"/>
        </w:rPr>
        <w:t>店</w:t>
      </w:r>
      <w:r>
        <w:rPr>
          <w:rFonts w:hint="default" w:ascii="Times New Roman" w:hAnsi="Times New Roman" w:eastAsia="仿宋_GB2312" w:cs="Times New Roman"/>
          <w:sz w:val="32"/>
          <w:szCs w:val="32"/>
        </w:rPr>
        <w:t>”，发布旅游美食导引，培育饮食地标，推广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线上引流+实体消费”促销模式，激发释放餐饮消费潜力，促进餐饮业降本增效。加大餐饮领域知识产权保护力度，依法查处侵犯知识产权违法行为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（牵头单位：区工信和商务局；责任单位：区旅游和文体广电局、市场监管分局）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（二）专项治理阶段（2024年9月30日前）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3.聚焦价格违法问题。</w:t>
      </w:r>
      <w:r>
        <w:rPr>
          <w:rFonts w:hint="default" w:ascii="Times New Roman" w:hAnsi="Times New Roman" w:eastAsia="仿宋_GB2312" w:cs="Times New Roman"/>
          <w:sz w:val="32"/>
          <w:szCs w:val="32"/>
        </w:rPr>
        <w:t>开展规范餐饮价格行为专项整治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厉查处哄抬物价、欺客宰客等侵害消费者权益的违法行为。对导致餐饮市场价格异常、波动剧烈或社会反映强烈集中举报的餐饮企业进行行政约谈、提醒告诫等，依法查处明码标价不规范、质价不符、发布虚假广告等违法违规行为，引导菜品价格</w:t>
      </w:r>
      <w:r>
        <w:rPr>
          <w:rFonts w:hint="default" w:ascii="Times New Roman" w:hAnsi="Times New Roman" w:eastAsia="仿宋_GB2312" w:cs="Times New Roman"/>
          <w:sz w:val="32"/>
          <w:szCs w:val="32"/>
          <w:lang w:eastAsia="zh-CN"/>
        </w:rPr>
        <w:t>保持在</w:t>
      </w:r>
      <w:r>
        <w:rPr>
          <w:rFonts w:hint="default" w:ascii="Times New Roman" w:hAnsi="Times New Roman" w:eastAsia="仿宋_GB2312" w:cs="Times New Roman"/>
          <w:sz w:val="32"/>
          <w:szCs w:val="32"/>
        </w:rPr>
        <w:t>合理水平。</w:t>
      </w:r>
      <w:r>
        <w:rPr>
          <w:rFonts w:hint="default" w:ascii="Times New Roman" w:hAnsi="Times New Roman" w:eastAsia="仿宋_GB2312" w:cs="Times New Roman"/>
          <w:b/>
          <w:bCs/>
          <w:sz w:val="32"/>
          <w:szCs w:val="32"/>
          <w:lang w:eastAsia="zh-CN"/>
        </w:rPr>
        <w:t>（牵头单位：区市场监管分局；责任单位：区发改局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工信和商务局）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4.聚焦经营秩序问题。</w:t>
      </w:r>
      <w:r>
        <w:rPr>
          <w:rFonts w:hint="default"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rPr>
        <w:t>展规范餐饮服务收费专项行动，重点规范餐具、纸巾、包间服务收费和设置最低消费门槛等行为， 监督履行“餐前消费确认”。依法查处强制消费、强制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扫码点餐”等违规行为，加大对哄抬价格、串通涨价、价格欺诈等违法违规行为的查处力度，保护消费者合法权益。督促餐饮经营主体依法依规做好</w:t>
      </w:r>
      <w:r>
        <w:rPr>
          <w:rFonts w:hint="default" w:ascii="Times New Roman" w:hAnsi="Times New Roman" w:eastAsia="仿宋_GB2312" w:cs="Times New Roman"/>
          <w:sz w:val="32"/>
          <w:szCs w:val="32"/>
          <w:lang w:eastAsia="zh-CN"/>
        </w:rPr>
        <w:t>消费者</w:t>
      </w:r>
      <w:r>
        <w:rPr>
          <w:rFonts w:hint="default" w:ascii="Times New Roman" w:hAnsi="Times New Roman" w:eastAsia="仿宋_GB2312" w:cs="Times New Roman"/>
          <w:sz w:val="32"/>
          <w:szCs w:val="32"/>
        </w:rPr>
        <w:t>个人信息保护，保留人工服务和传统支付方式，不得拒收现金。</w:t>
      </w:r>
      <w:r>
        <w:rPr>
          <w:rFonts w:hint="default" w:ascii="Times New Roman" w:hAnsi="Times New Roman" w:eastAsia="仿宋_GB2312" w:cs="Times New Roman"/>
          <w:b/>
          <w:bCs/>
          <w:sz w:val="32"/>
          <w:szCs w:val="32"/>
          <w:lang w:eastAsia="zh-CN"/>
        </w:rPr>
        <w:t>（牵头单位：区市场监管分局、工信和商务局</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eastAsia="zh-CN"/>
        </w:rPr>
        <w:t>发改局</w:t>
      </w:r>
      <w:r>
        <w:rPr>
          <w:rFonts w:hint="eastAsia" w:ascii="Times New Roman" w:hAnsi="Times New Roman" w:eastAsia="仿宋_GB2312" w:cs="Times New Roman"/>
          <w:b/>
          <w:bCs/>
          <w:sz w:val="32"/>
          <w:szCs w:val="32"/>
          <w:lang w:eastAsia="zh-CN"/>
        </w:rPr>
        <w:t>、财政局</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5.聚焦食品安全问题。</w:t>
      </w:r>
      <w:r>
        <w:rPr>
          <w:rFonts w:hint="default" w:ascii="Times New Roman" w:hAnsi="Times New Roman" w:eastAsia="仿宋_GB2312" w:cs="Times New Roman"/>
          <w:sz w:val="32"/>
          <w:szCs w:val="32"/>
        </w:rPr>
        <w:t>开展食品安全专项整治行动，</w:t>
      </w:r>
      <w:r>
        <w:rPr>
          <w:rFonts w:hint="default" w:ascii="Times New Roman" w:hAnsi="Times New Roman" w:eastAsia="仿宋_GB2312" w:cs="Times New Roman"/>
          <w:sz w:val="32"/>
          <w:szCs w:val="32"/>
          <w:lang w:val="en-US" w:eastAsia="zh-CN"/>
        </w:rPr>
        <w:t>严格食品原料进货查验，严把食品原料准入关，</w:t>
      </w:r>
      <w:r>
        <w:rPr>
          <w:rFonts w:hint="default" w:ascii="Times New Roman" w:hAnsi="Times New Roman" w:eastAsia="仿宋_GB2312" w:cs="Times New Roman"/>
          <w:sz w:val="32"/>
          <w:szCs w:val="32"/>
        </w:rPr>
        <w:t>严厉查处餐饮经营者销售不符合强制性标准食品的行为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以生猪、牛、羊、鸡及其肉类产品为重点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对畜禽养殖、屠宰、无害化处理、肉及肉制品生产经营全链条开展专项整治，严厉打击肉类产品违法犯罪行为，建立健全肉类产品质量安全长效监管机制。</w:t>
      </w:r>
      <w:r>
        <w:rPr>
          <w:rFonts w:hint="default" w:ascii="Times New Roman" w:hAnsi="Times New Roman" w:eastAsia="仿宋_GB2312" w:cs="Times New Roman"/>
          <w:b/>
          <w:bCs/>
          <w:sz w:val="32"/>
          <w:szCs w:val="32"/>
          <w:lang w:eastAsia="zh-CN"/>
        </w:rPr>
        <w:t>（牵头单位：区市场监管分局；责任单位：区农业农村局、公安分局）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6.聚焦平台服务收费问题。</w:t>
      </w:r>
      <w:r>
        <w:rPr>
          <w:rFonts w:hint="default" w:ascii="Times New Roman" w:hAnsi="Times New Roman" w:eastAsia="仿宋_GB2312" w:cs="Times New Roman"/>
          <w:color w:val="auto"/>
          <w:sz w:val="32"/>
          <w:szCs w:val="32"/>
        </w:rPr>
        <w:t>引导</w:t>
      </w:r>
      <w:r>
        <w:rPr>
          <w:rFonts w:hint="default" w:ascii="Times New Roman" w:hAnsi="Times New Roman" w:eastAsia="仿宋_GB2312" w:cs="Times New Roman"/>
          <w:color w:val="auto"/>
          <w:sz w:val="32"/>
          <w:szCs w:val="32"/>
          <w:lang w:eastAsia="zh-CN"/>
        </w:rPr>
        <w:t>美团、饿了么</w:t>
      </w:r>
      <w:r>
        <w:rPr>
          <w:rFonts w:hint="default" w:ascii="Times New Roman" w:hAnsi="Times New Roman" w:eastAsia="仿宋_GB2312" w:cs="Times New Roman"/>
          <w:color w:val="auto"/>
          <w:sz w:val="32"/>
          <w:szCs w:val="32"/>
        </w:rPr>
        <w:t>等互联网</w:t>
      </w:r>
      <w:r>
        <w:rPr>
          <w:rFonts w:hint="default" w:ascii="Times New Roman" w:hAnsi="Times New Roman" w:eastAsia="仿宋_GB2312" w:cs="Times New Roman"/>
          <w:color w:val="auto"/>
          <w:sz w:val="32"/>
          <w:szCs w:val="32"/>
          <w:lang w:eastAsia="zh-CN"/>
        </w:rPr>
        <w:t>外卖</w:t>
      </w:r>
      <w:r>
        <w:rPr>
          <w:rFonts w:hint="default" w:ascii="Times New Roman" w:hAnsi="Times New Roman" w:eastAsia="仿宋_GB2312" w:cs="Times New Roman"/>
          <w:color w:val="auto"/>
          <w:sz w:val="32"/>
          <w:szCs w:val="32"/>
        </w:rPr>
        <w:t>平台主动让利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实施“费率透明化”，将固定费率拆分为技术服务费（佣金）和履约服务费（配送成本），进一步降低餐饮业商户服务费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降低推广和宣传费用，对优质小微餐饮用户提供技术培训和引流支持，营造平台与商户共生发展的良好生态。</w:t>
      </w:r>
      <w:r>
        <w:rPr>
          <w:rFonts w:hint="default" w:ascii="Times New Roman" w:hAnsi="Times New Roman" w:eastAsia="仿宋_GB2312" w:cs="Times New Roman"/>
          <w:b/>
          <w:bCs/>
          <w:color w:val="auto"/>
          <w:sz w:val="32"/>
          <w:szCs w:val="32"/>
          <w:lang w:eastAsia="zh-CN"/>
        </w:rPr>
        <w:t>（牵头单位：区市场监管分局；责任单位：区工信和商务局）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7.聚焦涉企政策落实问题。</w:t>
      </w:r>
      <w:r>
        <w:rPr>
          <w:rFonts w:hint="default" w:ascii="Times New Roman" w:hAnsi="Times New Roman" w:eastAsia="仿宋_GB2312" w:cs="Times New Roman"/>
          <w:sz w:val="32"/>
          <w:szCs w:val="32"/>
        </w:rPr>
        <w:t>依法查处落实减税降费政策不到位，不按要求执行助企纾困政策措施等行为，严肃查处餐饮领域以安装设备、开展认证认定、购买指定保险等名义开展的各类涉企乱收费行为；指导供水、供电、供气、供暖等公用企业为符合条件的餐饮经营主体单独安装水电气暖等计费设施设备，严禁对计量装置强制检定收费，规范对餐饮经营者油烟改造等设施设备收费。</w:t>
      </w:r>
      <w:r>
        <w:rPr>
          <w:rFonts w:hint="default" w:ascii="Times New Roman" w:hAnsi="Times New Roman" w:eastAsia="仿宋_GB2312" w:cs="Times New Roman"/>
          <w:b/>
          <w:bCs/>
          <w:sz w:val="32"/>
          <w:szCs w:val="32"/>
          <w:lang w:eastAsia="zh-CN"/>
        </w:rPr>
        <w:t>（牵头单位：区市场监管分局；责任单位：区工信和商务局、住建和交通局、发改局、财政局</w:t>
      </w:r>
      <w:r>
        <w:rPr>
          <w:rFonts w:hint="eastAsia"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lang w:eastAsia="zh-CN"/>
        </w:rPr>
        <w:t>税务局）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（三）巩固提升阶段（2024年12月31日前）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color w:val="auto"/>
          <w:sz w:val="32"/>
          <w:szCs w:val="32"/>
          <w:lang w:val="en-US" w:eastAsia="zh-CN"/>
        </w:rPr>
        <w:t>8.制定餐饮业经营管理规则。</w:t>
      </w:r>
      <w:r>
        <w:rPr>
          <w:rFonts w:hint="default" w:ascii="Times New Roman" w:hAnsi="Times New Roman" w:eastAsia="仿宋_GB2312" w:cs="Times New Roman"/>
          <w:color w:val="auto"/>
          <w:sz w:val="32"/>
          <w:szCs w:val="32"/>
          <w:lang w:val="en-US" w:eastAsia="zh-CN"/>
        </w:rPr>
        <w:t>严格落实自治区、中卫市印发的</w:t>
      </w:r>
      <w:r>
        <w:rPr>
          <w:rFonts w:hint="default" w:ascii="Times New Roman" w:hAnsi="Times New Roman" w:eastAsia="仿宋_GB2312" w:cs="Times New Roman"/>
          <w:color w:val="auto"/>
          <w:sz w:val="32"/>
          <w:szCs w:val="32"/>
        </w:rPr>
        <w:t>餐饮业价格行为规则，细化菜品明码标价形式和要素，明确公示的名称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计价单位、主要原料分量等内容，规范餐前收费、第三方平台服务收费等行为。</w:t>
      </w:r>
      <w:r>
        <w:rPr>
          <w:rFonts w:hint="default" w:ascii="Times New Roman" w:hAnsi="Times New Roman" w:eastAsia="仿宋_GB2312" w:cs="Times New Roman"/>
          <w:color w:val="auto"/>
          <w:sz w:val="32"/>
          <w:szCs w:val="32"/>
          <w:lang w:eastAsia="zh-CN"/>
        </w:rPr>
        <w:t>区工信和商务局落实</w:t>
      </w:r>
      <w:r>
        <w:rPr>
          <w:rFonts w:hint="default" w:ascii="Times New Roman" w:hAnsi="Times New Roman" w:eastAsia="仿宋_GB2312" w:cs="Times New Roman"/>
          <w:color w:val="auto"/>
          <w:sz w:val="32"/>
          <w:szCs w:val="32"/>
        </w:rPr>
        <w:t>自治区餐饮业经营管理办法实施细则</w:t>
      </w:r>
      <w:r>
        <w:rPr>
          <w:rFonts w:hint="default" w:ascii="Times New Roman" w:hAnsi="Times New Roman" w:eastAsia="仿宋_GB2312" w:cs="Times New Roman"/>
          <w:color w:val="auto"/>
          <w:sz w:val="32"/>
          <w:szCs w:val="32"/>
          <w:lang w:eastAsia="zh-CN"/>
        </w:rPr>
        <w:t>，细化任务措施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rPr>
        <w:t>维护消费者和经营者合法权益，引导和促进餐饮业健康有序发展。</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z w:val="32"/>
          <w:szCs w:val="32"/>
          <w:lang w:eastAsia="zh-CN"/>
        </w:rPr>
        <w:t>牵头单位：区发改局</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eastAsia="zh-CN"/>
        </w:rPr>
        <w:t>工信和商务局、市场监管分局）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9.推动餐饮业降低原材料成本。</w:t>
      </w:r>
      <w:r>
        <w:rPr>
          <w:rFonts w:hint="default" w:ascii="Times New Roman" w:hAnsi="Times New Roman" w:eastAsia="仿宋_GB2312" w:cs="Times New Roman"/>
          <w:sz w:val="32"/>
          <w:szCs w:val="32"/>
        </w:rPr>
        <w:t>支持农产品龙头企业、大型农产品批发市场、农贸市场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生鲜超市等搭建产销对接平台，加强农产品全程可追溯体系建设，加大特色农产品品牌保护，实现优质特色农产品直供餐饮门店，减少流通环节费用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加强农贸市场布局规划和改造提升，推动农贸市场标准化建设，增强米面粮油、肉品水产、蔬菜水果等餐饮食材市场保供能力。</w:t>
      </w:r>
      <w:r>
        <w:rPr>
          <w:rFonts w:hint="default" w:ascii="Times New Roman" w:hAnsi="Times New Roman" w:eastAsia="仿宋_GB2312" w:cs="Times New Roman"/>
          <w:b/>
          <w:bCs/>
          <w:sz w:val="32"/>
          <w:szCs w:val="32"/>
          <w:lang w:eastAsia="zh-CN"/>
        </w:rPr>
        <w:t>（牵头单位：区农业农村局；责任单位：区工信和商务局）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10.加大餐饮业人才支持。</w:t>
      </w:r>
      <w:r>
        <w:rPr>
          <w:rFonts w:hint="default" w:ascii="Times New Roman" w:hAnsi="Times New Roman" w:eastAsia="仿宋_GB2312" w:cs="Times New Roman"/>
          <w:kern w:val="2"/>
          <w:sz w:val="32"/>
          <w:szCs w:val="32"/>
          <w:lang w:val="en-US" w:eastAsia="zh-CN" w:bidi="ar-SA"/>
        </w:rPr>
        <w:t>开展人才队伍建设，搭建就业供需服务平台，支持企业根据发展需要引进职业经理人，培育一批经营管理人才。鼓励从业人员参加职业技能考评，取得餐饮行业职业资格证书。</w:t>
      </w:r>
      <w:r>
        <w:rPr>
          <w:rFonts w:hint="default" w:ascii="Times New Roman" w:hAnsi="Times New Roman" w:eastAsia="仿宋_GB2312" w:cs="Times New Roman"/>
          <w:sz w:val="32"/>
          <w:szCs w:val="32"/>
        </w:rPr>
        <w:t>统筹使用人才经费、职工教育经费、职业技能培训有关资金等，支持餐饮经营者开展从业人员培训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餐饮业优秀人才评选活动和技能竞赛等活动。</w:t>
      </w:r>
      <w:r>
        <w:rPr>
          <w:rFonts w:hint="default" w:ascii="Times New Roman" w:hAnsi="Times New Roman" w:eastAsia="仿宋_GB2312" w:cs="Times New Roman"/>
          <w:b/>
          <w:bCs/>
          <w:sz w:val="32"/>
          <w:szCs w:val="32"/>
          <w:lang w:eastAsia="zh-CN"/>
        </w:rPr>
        <w:t>（牵头单位：区民社局；责任单位：区委组织部，区工信和商务局、财政局）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11.激发餐饮市场消费活力。</w:t>
      </w:r>
      <w:r>
        <w:rPr>
          <w:rFonts w:hint="default" w:ascii="Times New Roman" w:hAnsi="Times New Roman" w:eastAsia="仿宋_GB2312" w:cs="Times New Roman"/>
          <w:sz w:val="32"/>
          <w:szCs w:val="32"/>
        </w:rPr>
        <w:t>积极落实景区门票减免政策，完善停车收费优惠政策，落实“引客入宁”以奖代补政策，增加餐饮消费券发放额度，激发群众消费意愿，增加餐饮消费客流量。</w:t>
      </w:r>
      <w:r>
        <w:rPr>
          <w:rFonts w:hint="default" w:ascii="Times New Roman" w:hAnsi="Times New Roman" w:eastAsia="仿宋_GB2312" w:cs="Times New Roman"/>
          <w:sz w:val="32"/>
          <w:szCs w:val="32"/>
          <w:lang w:eastAsia="zh-CN"/>
        </w:rPr>
        <w:t>精心筹办金蛙国际艺术节、沙漠音乐节及第二届“坡好吃”美食大赛等品牌赛事活动，打造“</w:t>
      </w:r>
      <w:r>
        <w:rPr>
          <w:rFonts w:hint="default" w:ascii="Times New Roman" w:hAnsi="Times New Roman" w:eastAsia="仿宋_GB2312" w:cs="Times New Roman"/>
          <w:sz w:val="32"/>
          <w:szCs w:val="32"/>
        </w:rPr>
        <w:t>美食</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旅游</w:t>
      </w:r>
      <w:r>
        <w:rPr>
          <w:rFonts w:hint="default" w:ascii="Times New Roman" w:hAnsi="Times New Roman" w:eastAsia="仿宋_GB2312" w:cs="Times New Roman"/>
          <w:sz w:val="32"/>
          <w:szCs w:val="32"/>
          <w:lang w:val="en-US" w:eastAsia="zh-CN"/>
        </w:rPr>
        <w:t>+赛事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为一体的具有较高知名度、影响力和吸引力的区域性品牌节会。</w:t>
      </w:r>
      <w:r>
        <w:rPr>
          <w:rFonts w:hint="default" w:ascii="Times New Roman" w:hAnsi="Times New Roman" w:eastAsia="仿宋_GB2312" w:cs="Times New Roman"/>
          <w:b/>
          <w:bCs/>
          <w:sz w:val="32"/>
          <w:szCs w:val="32"/>
          <w:lang w:eastAsia="zh-CN"/>
        </w:rPr>
        <w:t>（牵头单位：区工信和商务局、旅游和文体广电局；责任单位：区发改局、财政局、综合执法局，鑫沙公司）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12.加快餐饮业信用体系建设。</w:t>
      </w:r>
      <w:r>
        <w:rPr>
          <w:rFonts w:hint="default" w:ascii="Times New Roman" w:hAnsi="Times New Roman" w:eastAsia="仿宋_GB2312" w:cs="Times New Roman"/>
          <w:sz w:val="32"/>
          <w:szCs w:val="32"/>
          <w:lang w:eastAsia="zh-CN"/>
        </w:rPr>
        <w:t>区工信和商务局</w:t>
      </w:r>
      <w:r>
        <w:rPr>
          <w:rFonts w:hint="default" w:ascii="Times New Roman" w:hAnsi="Times New Roman" w:eastAsia="仿宋_GB2312" w:cs="Times New Roman"/>
          <w:sz w:val="32"/>
          <w:szCs w:val="32"/>
        </w:rPr>
        <w:t>会同相关部门引导餐饮企业诚信经营。市场监管</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对价格失信行为进行归集，依法依规实施信用惩戒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发改局</w:t>
      </w:r>
      <w:r>
        <w:rPr>
          <w:rFonts w:hint="default" w:ascii="Times New Roman" w:hAnsi="Times New Roman" w:eastAsia="仿宋_GB2312" w:cs="Times New Roman"/>
          <w:sz w:val="32"/>
          <w:szCs w:val="32"/>
        </w:rPr>
        <w:t>将餐饮企业失信行为及时推送全国信用信息共享平台。探索建立餐饮业守信激励措施清单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对符合条件的守信经营者提供优惠政策和便利措施。</w:t>
      </w:r>
      <w:r>
        <w:rPr>
          <w:rFonts w:hint="default" w:ascii="Times New Roman" w:hAnsi="Times New Roman" w:eastAsia="仿宋_GB2312" w:cs="Times New Roman"/>
          <w:b/>
          <w:bCs/>
          <w:sz w:val="32"/>
          <w:szCs w:val="32"/>
          <w:lang w:eastAsia="zh-CN"/>
        </w:rPr>
        <w:t>（牵头单位：区发改局、工信和商务局、市场监管分局）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13.发挥餐饮协会引导作用。</w:t>
      </w:r>
      <w:r>
        <w:rPr>
          <w:rFonts w:hint="default" w:ascii="Times New Roman" w:hAnsi="Times New Roman" w:eastAsia="仿宋_GB2312" w:cs="Times New Roman"/>
          <w:sz w:val="32"/>
          <w:szCs w:val="32"/>
          <w:lang w:val="en-US" w:eastAsia="zh-CN"/>
        </w:rPr>
        <w:t>督促和引导</w:t>
      </w:r>
      <w:r>
        <w:rPr>
          <w:rFonts w:hint="eastAsia" w:ascii="Times New Roman" w:hAnsi="Times New Roman" w:eastAsia="仿宋_GB2312" w:cs="Times New Roman"/>
          <w:sz w:val="32"/>
          <w:szCs w:val="32"/>
          <w:lang w:eastAsia="zh-CN"/>
        </w:rPr>
        <w:t>中卫市</w:t>
      </w:r>
      <w:r>
        <w:rPr>
          <w:rFonts w:hint="default" w:ascii="Times New Roman" w:hAnsi="Times New Roman" w:eastAsia="仿宋_GB2312" w:cs="Times New Roman"/>
          <w:sz w:val="32"/>
          <w:szCs w:val="32"/>
        </w:rPr>
        <w:t>餐饮</w:t>
      </w:r>
      <w:r>
        <w:rPr>
          <w:rFonts w:hint="eastAsia" w:ascii="Times New Roman" w:hAnsi="Times New Roman" w:eastAsia="仿宋_GB2312" w:cs="Times New Roman"/>
          <w:sz w:val="32"/>
          <w:szCs w:val="32"/>
          <w:lang w:eastAsia="zh-CN"/>
        </w:rPr>
        <w:t>饭店业</w:t>
      </w:r>
      <w:r>
        <w:rPr>
          <w:rFonts w:hint="default" w:ascii="Times New Roman" w:hAnsi="Times New Roman" w:eastAsia="仿宋_GB2312" w:cs="Times New Roman"/>
          <w:sz w:val="32"/>
          <w:szCs w:val="32"/>
        </w:rPr>
        <w:t>协会健全完善自身章程和内部监督制度，依照法律法规和餐饮业相关规定从事经营活动</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推进行业自律和职业道德建设，宣传普及食品安全、价格行为等法律法规，通过组织竞赛、培训、会议、展览、交流等活动，提升餐饮业经营管理水平、品牌塑造能力、从业人员素质。</w:t>
      </w:r>
      <w:r>
        <w:rPr>
          <w:rFonts w:hint="default" w:ascii="Times New Roman" w:hAnsi="Times New Roman" w:eastAsia="仿宋_GB2312" w:cs="Times New Roman"/>
          <w:b/>
          <w:bCs/>
          <w:sz w:val="32"/>
          <w:szCs w:val="32"/>
          <w:lang w:eastAsia="zh-CN"/>
        </w:rPr>
        <w:t>（牵头单位：区工信和商务局）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pStyle w:val="3"/>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（一）加强组织领导。</w:t>
      </w:r>
      <w:r>
        <w:rPr>
          <w:rFonts w:hint="default" w:ascii="Times New Roman" w:hAnsi="Times New Roman" w:eastAsia="仿宋_GB2312" w:cs="Times New Roman"/>
          <w:sz w:val="32"/>
          <w:szCs w:val="32"/>
          <w:lang w:eastAsia="zh-CN"/>
        </w:rPr>
        <w:t>各相关单位</w:t>
      </w:r>
      <w:r>
        <w:rPr>
          <w:rFonts w:hint="default" w:ascii="Times New Roman" w:hAnsi="Times New Roman" w:eastAsia="仿宋_GB2312" w:cs="Times New Roman"/>
          <w:sz w:val="32"/>
          <w:szCs w:val="32"/>
        </w:rPr>
        <w:t>要</w:t>
      </w:r>
      <w:r>
        <w:rPr>
          <w:rFonts w:hint="default" w:ascii="Times New Roman" w:hAnsi="Times New Roman" w:eastAsia="仿宋_GB2312" w:cs="Times New Roman"/>
          <w:kern w:val="0"/>
          <w:sz w:val="32"/>
          <w:szCs w:val="32"/>
          <w:highlight w:val="none"/>
          <w:lang w:val="en-US" w:eastAsia="zh-CN" w:bidi="ar-SA"/>
        </w:rPr>
        <w:t>高度重视</w:t>
      </w:r>
      <w:r>
        <w:rPr>
          <w:rFonts w:hint="default" w:ascii="Times New Roman" w:hAnsi="Times New Roman" w:eastAsia="仿宋_GB2312" w:cs="Times New Roman"/>
          <w:kern w:val="0"/>
          <w:sz w:val="32"/>
          <w:szCs w:val="32"/>
          <w:highlight w:val="none"/>
          <w:lang w:eastAsia="zh-CN"/>
        </w:rPr>
        <w:t>餐饮市场价格秩序专项整治行动，</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部门（单位）职责</w:t>
      </w:r>
      <w:r>
        <w:rPr>
          <w:rFonts w:hint="default" w:ascii="Times New Roman" w:hAnsi="Times New Roman" w:eastAsia="仿宋_GB2312" w:cs="Times New Roman"/>
          <w:sz w:val="32"/>
          <w:szCs w:val="32"/>
        </w:rPr>
        <w:t>建立健全促进餐饮业高质量发展工作机制，</w:t>
      </w:r>
      <w:r>
        <w:rPr>
          <w:rFonts w:hint="default" w:ascii="Times New Roman" w:hAnsi="Times New Roman" w:eastAsia="仿宋_GB2312" w:cs="Times New Roman"/>
          <w:sz w:val="32"/>
          <w:szCs w:val="32"/>
          <w:lang w:eastAsia="zh-CN"/>
        </w:rPr>
        <w:t>周密安排部署，根据任务分工</w:t>
      </w:r>
      <w:r>
        <w:rPr>
          <w:rFonts w:hint="default" w:ascii="Times New Roman" w:hAnsi="Times New Roman" w:eastAsia="仿宋_GB2312" w:cs="Times New Roman"/>
          <w:sz w:val="32"/>
          <w:szCs w:val="32"/>
        </w:rPr>
        <w:t>细化配套措</w:t>
      </w:r>
      <w:r>
        <w:rPr>
          <w:rFonts w:hint="default" w:ascii="Times New Roman" w:hAnsi="Times New Roman" w:eastAsia="仿宋_GB2312" w:cs="Times New Roman"/>
          <w:spacing w:val="-6"/>
          <w:sz w:val="32"/>
          <w:szCs w:val="32"/>
        </w:rPr>
        <w:t>施，加强政策解读、资源整合和信息共享，</w:t>
      </w:r>
      <w:r>
        <w:rPr>
          <w:rFonts w:hint="default" w:ascii="Times New Roman" w:hAnsi="Times New Roman" w:eastAsia="仿宋_GB2312" w:cs="Times New Roman"/>
          <w:spacing w:val="-6"/>
          <w:sz w:val="32"/>
          <w:szCs w:val="32"/>
          <w:lang w:eastAsia="zh-CN"/>
        </w:rPr>
        <w:t>全力</w:t>
      </w:r>
      <w:r>
        <w:rPr>
          <w:rFonts w:hint="default" w:ascii="Times New Roman" w:hAnsi="Times New Roman" w:eastAsia="仿宋_GB2312" w:cs="Times New Roman"/>
          <w:spacing w:val="-6"/>
          <w:sz w:val="32"/>
          <w:szCs w:val="32"/>
        </w:rPr>
        <w:t>推动工作取得实</w:t>
      </w:r>
      <w:r>
        <w:rPr>
          <w:rFonts w:hint="default" w:ascii="Times New Roman" w:hAnsi="Times New Roman" w:eastAsia="仿宋_GB2312" w:cs="Times New Roman"/>
          <w:sz w:val="32"/>
          <w:szCs w:val="32"/>
        </w:rPr>
        <w:t>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（二）营造良好氛围。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组织媒体对</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特色餐饮</w:t>
      </w:r>
      <w:r>
        <w:rPr>
          <w:rFonts w:hint="default" w:ascii="Times New Roman" w:hAnsi="Times New Roman" w:eastAsia="仿宋_GB2312" w:cs="Times New Roman"/>
          <w:sz w:val="32"/>
          <w:szCs w:val="32"/>
          <w:lang w:eastAsia="zh-CN"/>
        </w:rPr>
        <w:t>、非遗美食</w:t>
      </w:r>
      <w:r>
        <w:rPr>
          <w:rFonts w:hint="default" w:ascii="Times New Roman" w:hAnsi="Times New Roman" w:eastAsia="仿宋_GB2312" w:cs="Times New Roman"/>
          <w:sz w:val="32"/>
          <w:szCs w:val="32"/>
        </w:rPr>
        <w:t>开展常态化宣传推介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积极挖掘餐饮</w:t>
      </w:r>
      <w:r>
        <w:rPr>
          <w:rFonts w:hint="default" w:ascii="Times New Roman" w:hAnsi="Times New Roman" w:eastAsia="仿宋_GB2312" w:cs="Times New Roman"/>
          <w:sz w:val="32"/>
          <w:szCs w:val="32"/>
          <w:lang w:eastAsia="zh-CN"/>
        </w:rPr>
        <w:t>行业诚信规范经营及餐饮</w:t>
      </w:r>
      <w:r>
        <w:rPr>
          <w:rFonts w:hint="default" w:ascii="Times New Roman" w:hAnsi="Times New Roman" w:eastAsia="仿宋_GB2312" w:cs="Times New Roman"/>
          <w:sz w:val="32"/>
          <w:szCs w:val="32"/>
        </w:rPr>
        <w:t>从业人员优秀事迹，支持先进集体和个人申报有关荣誉表彰，提升餐饮从业人员职业荣誉感，营造支持餐饮业高质量发展的良好社会氛围。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（三）加大执法力度。</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市场监管分局要</w:t>
      </w:r>
      <w:r>
        <w:rPr>
          <w:rFonts w:hint="default" w:ascii="Times New Roman" w:hAnsi="Times New Roman" w:eastAsia="仿宋_GB2312" w:cs="Times New Roman"/>
          <w:sz w:val="32"/>
          <w:szCs w:val="32"/>
        </w:rPr>
        <w:t>会同</w:t>
      </w:r>
      <w:r>
        <w:rPr>
          <w:rFonts w:hint="default" w:ascii="Times New Roman" w:hAnsi="Times New Roman" w:eastAsia="仿宋_GB2312" w:cs="Times New Roman"/>
          <w:sz w:val="32"/>
          <w:szCs w:val="32"/>
          <w:lang w:eastAsia="zh-CN"/>
        </w:rPr>
        <w:t>工信和商务局</w:t>
      </w:r>
      <w:r>
        <w:rPr>
          <w:rFonts w:hint="default" w:ascii="Times New Roman" w:hAnsi="Times New Roman" w:eastAsia="仿宋_GB2312" w:cs="Times New Roman"/>
          <w:sz w:val="32"/>
          <w:szCs w:val="32"/>
        </w:rPr>
        <w:t>加大餐饮业价格违法行为查处力度和投诉举报执法力度，</w:t>
      </w:r>
      <w:r>
        <w:rPr>
          <w:rFonts w:hint="default" w:ascii="Times New Roman" w:hAnsi="Times New Roman" w:eastAsia="仿宋_GB2312" w:cs="Times New Roman"/>
          <w:sz w:val="32"/>
          <w:szCs w:val="32"/>
          <w:lang w:eastAsia="zh-CN"/>
        </w:rPr>
        <w:t>查处并</w:t>
      </w:r>
      <w:r>
        <w:rPr>
          <w:rFonts w:hint="default" w:ascii="Times New Roman" w:hAnsi="Times New Roman" w:eastAsia="仿宋_GB2312" w:cs="Times New Roman"/>
          <w:sz w:val="32"/>
          <w:szCs w:val="32"/>
        </w:rPr>
        <w:t>曝光一批餐饮领域食品安全和价格行为违法典型案例。</w:t>
      </w:r>
    </w:p>
    <w:p>
      <w:pPr>
        <w:keepNext w:val="0"/>
        <w:keepLines w:val="0"/>
        <w:pageBreakBefore w:val="0"/>
        <w:widowControl w:val="0"/>
        <w:kinsoku/>
        <w:overflowPunct/>
        <w:topLinePunct w:val="0"/>
        <w:autoSpaceDE/>
        <w:autoSpaceDN/>
        <w:bidi w:val="0"/>
        <w:adjustRightInd/>
        <w:snapToGrid/>
        <w:spacing w:line="540" w:lineRule="exact"/>
        <w:ind w:right="0" w:rightChars="0" w:firstLine="636"/>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请各相关部门及时挖掘特色亮点，提炼经验做法，分别于6月20日、12月20日前向区发改局报送工作开展情况。</w:t>
      </w:r>
    </w:p>
    <w:p>
      <w:pPr>
        <w:keepNext w:val="0"/>
        <w:keepLines w:val="0"/>
        <w:pageBreakBefore w:val="0"/>
        <w:widowControl w:val="0"/>
        <w:kinsoku/>
        <w:overflowPunct/>
        <w:topLinePunct w:val="0"/>
        <w:autoSpaceDE/>
        <w:autoSpaceDN/>
        <w:bidi w:val="0"/>
        <w:adjustRightInd/>
        <w:snapToGrid/>
        <w:spacing w:line="540" w:lineRule="exact"/>
        <w:ind w:right="0" w:rightChars="0" w:firstLine="636"/>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联系人:马</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珺， 联系电话:8812019，邮箱:sptqfgj@163.co</w:t>
      </w:r>
      <w:r>
        <w:rPr>
          <w:rFonts w:hint="eastAsia" w:ascii="Times New Roman" w:hAnsi="Times New Roman" w:eastAsia="仿宋_GB2312" w:cs="Times New Roman"/>
          <w:color w:val="000000"/>
          <w:sz w:val="32"/>
          <w:szCs w:val="32"/>
          <w:lang w:val="en-US" w:eastAsia="zh-CN"/>
        </w:rPr>
        <w: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liss Light">
    <w:altName w:val="Verdana"/>
    <w:panose1 w:val="02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21E80"/>
    <w:rsid w:val="7962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首行缩进两字）"/>
    <w:basedOn w:val="1"/>
    <w:qFormat/>
    <w:uiPriority w:val="0"/>
    <w:pPr>
      <w:ind w:firstLine="420" w:firstLineChars="200"/>
    </w:pPr>
    <w:rPr>
      <w:szCs w:val="21"/>
    </w:r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2024-06-26T01:08:00Z</dcterms:created>
  <dc:creator>Administrator</dc:creator>
  <cp:lastModifiedBy>Administrator</cp:lastModifiedBy>
  <dcterms:modified xsi:type="dcterms:W3CDTF">2024-06-26T01:09:31Z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