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ind w:leftChars="0"/>
        <w:textAlignment w:val="auto"/>
        <w:outlineLvl w:val="9"/>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附件</w:t>
      </w: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沙坡头区兴仁镇拓寨贫困村基础设施建设项目</w:t>
      </w: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竣工验收鉴定书</w:t>
      </w: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2020年10月16日，沙坡头区发展和改革局会同财政局、水务局组成竣工验收小组，对沙坡头区兴仁镇拓寨贫困村基础设施建设项目进行竣工验收，项目法人、设计、监理、施工等参建单位代表参加了验收。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一、项目审批情况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2019年5月9日，沙坡头区发展和改革局以《关于沙坡头区兴仁镇拓寨贫困村基础设施建设项目建设方案的批复》(卫沙发改(审批)发〔20</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〕63号)批准了项目建设方案。批复主要建设内容为:新打机井1眼，维修改建0.12万立方米蓄水池1座,铺设de110PVC (0.63MPa) 管道1390米，新建阀井9座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铺设砂砾石路面8条共计8.56千米。项目概算总投资187.13万元，资金来源为扶贫专项资金。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000000" w:themeColor="text1"/>
          <w:sz w:val="32"/>
          <w:szCs w:val="32"/>
          <w:lang w:eastAsia="zh-CN"/>
        </w:rPr>
      </w:pPr>
      <w:r>
        <w:rPr>
          <w:rFonts w:hint="eastAsia" w:ascii="Times New Roman" w:hAnsi="Times New Roman" w:eastAsia="黑体" w:cs="Times New Roman"/>
          <w:color w:val="000000" w:themeColor="text1"/>
          <w:sz w:val="32"/>
          <w:szCs w:val="32"/>
          <w:lang w:val="en-US" w:eastAsia="zh-CN"/>
        </w:rPr>
        <w:t>二</w:t>
      </w:r>
      <w:r>
        <w:rPr>
          <w:rFonts w:hint="eastAsia" w:ascii="Times New Roman" w:hAnsi="Times New Roman" w:eastAsia="仿宋_GB2312" w:cs="Times New Roman"/>
          <w:sz w:val="32"/>
          <w:szCs w:val="32"/>
          <w:lang w:val="en-US" w:eastAsia="zh-CN"/>
        </w:rPr>
        <w:t>、</w:t>
      </w:r>
      <w:r>
        <w:rPr>
          <w:rFonts w:hint="default" w:ascii="Times New Roman" w:hAnsi="Times New Roman" w:eastAsia="黑体" w:cs="Times New Roman"/>
          <w:color w:val="000000" w:themeColor="text1"/>
          <w:sz w:val="32"/>
          <w:szCs w:val="32"/>
          <w:lang w:eastAsia="zh-CN"/>
        </w:rPr>
        <w:t>项目建设管理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建设单位为沙坡头区扶贫开发办公室，项目设计单位为宁夏中卫市水利勘测设计院(有限公司)，施工单位为宁夏维华新兴建设有限公司，监理单位为新疆中厦建设工程项目管理有限公司宁夏分公司。项目在建设过程中，落实了项目法人责任制、招投标制、合同管理制、工程建设监理制。项目法人单位采取合同委托的方式确定了项目勘查设计、监理单位，采取公开招标的方式确定了施工单位，与相关单位均签订了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三、项目完成情况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2019年6月4日，该项目在中卫市公共资源交易中心开标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 采取公开招标方式，中标单位为宁夏维华新兴建设有限公司，中标价1590030.18元。项目于2019年6月13日开工建设，2019年10月18日完工。2019年10月18日，沙坡头区扶贫开发办公室组织项目设计、施工、监理单位进行了自查验收，验收结果为合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四、概算执行情况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000000" w:themeColor="text1"/>
          <w:kern w:val="0"/>
          <w:sz w:val="32"/>
          <w:szCs w:val="32"/>
          <w:shd w:val="clear" w:color="auto" w:fill="FFFFFF"/>
          <w:lang w:val="en-US" w:eastAsia="zh-CN"/>
        </w:rPr>
      </w:pPr>
      <w:r>
        <w:rPr>
          <w:rFonts w:hint="eastAsia" w:ascii="Times New Roman" w:hAnsi="Times New Roman" w:eastAsia="仿宋_GB2312" w:cs="Times New Roman"/>
          <w:sz w:val="32"/>
          <w:szCs w:val="32"/>
          <w:lang w:val="en-US" w:eastAsia="zh-CN"/>
        </w:rPr>
        <w:t>项目批复概算总投资为187.13 万元，实际完成投资166.1 万元，其中:审定工程造价1576354.75元，勘测设计费49800元，监理费23645.32元，控制价编制费7143元，结算编制费4098.52元。较概算结余21.03万元，节约率约为11.24%。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五、竣工验收结论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听取项目建设单位的汇报，实地查看项目建设基本情况，查阅项目档案资料，经验收组研究讨论，形成如下验收意见：该项目各项审批手续基本齐全；工程建设执行了项目“四制”管理；基本按批复的建设方案建设完成；各项档案资料齐全完善；财务管理合理规范，投资控制合理；完成竣工结算审核。原则同意沙坡头区兴仁镇拓寨贫困村基础设施建设项目通过竣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w:t>
      </w:r>
      <w:r>
        <w:rPr>
          <w:rFonts w:hint="default" w:ascii="Times New Roman" w:hAnsi="Times New Roman" w:eastAsia="仿宋" w:cs="Times New Roman"/>
          <w:color w:val="000000"/>
          <w:sz w:val="32"/>
          <w:szCs w:val="32"/>
          <w:lang w:eastAsia="zh-CN"/>
        </w:rPr>
        <w:t>政府投资项目竣工验收表</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tbl>
      <w:tblPr>
        <w:tblStyle w:val="6"/>
        <w:tblW w:w="894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210" w:firstLine="420" w:firstLineChars="150"/>
              <w:textAlignment w:val="auto"/>
              <w:rPr>
                <w:rFonts w:hint="default" w:ascii="Times New Roman" w:hAnsi="Times New Roman" w:eastAsia="仿宋" w:cs="Times New Roman"/>
                <w:color w:val="000000" w:themeColor="text1"/>
                <w:kern w:val="0"/>
                <w:sz w:val="28"/>
                <w:szCs w:val="28"/>
                <w:lang w:eastAsia="zh-CN"/>
              </w:rPr>
            </w:pPr>
            <w:r>
              <w:rPr>
                <w:rFonts w:hint="default" w:ascii="Times New Roman" w:hAnsi="Times New Roman" w:eastAsia="仿宋" w:cs="Times New Roman"/>
                <w:color w:val="000000" w:themeColor="text1"/>
                <w:kern w:val="0"/>
                <w:sz w:val="28"/>
                <w:szCs w:val="28"/>
              </w:rPr>
              <w:t>抄送：</w:t>
            </w:r>
            <w:r>
              <w:rPr>
                <w:rFonts w:hint="eastAsia" w:ascii="Times New Roman" w:hAnsi="Times New Roman" w:eastAsia="仿宋" w:cs="Times New Roman"/>
                <w:color w:val="000000" w:themeColor="text1"/>
                <w:kern w:val="0"/>
                <w:sz w:val="28"/>
                <w:szCs w:val="28"/>
                <w:lang w:eastAsia="zh-CN"/>
              </w:rPr>
              <w:t>区</w:t>
            </w:r>
            <w:r>
              <w:rPr>
                <w:rFonts w:hint="default" w:ascii="Times New Roman" w:hAnsi="Times New Roman" w:eastAsia="仿宋" w:cs="Times New Roman"/>
                <w:color w:val="000000" w:themeColor="text1"/>
                <w:kern w:val="0"/>
                <w:sz w:val="28"/>
                <w:szCs w:val="28"/>
                <w:lang w:eastAsia="zh-CN"/>
              </w:rPr>
              <w:t>财政局、</w:t>
            </w:r>
            <w:r>
              <w:rPr>
                <w:rFonts w:hint="eastAsia" w:ascii="Times New Roman" w:hAnsi="Times New Roman" w:eastAsia="仿宋" w:cs="Times New Roman"/>
                <w:color w:val="000000" w:themeColor="text1"/>
                <w:kern w:val="0"/>
                <w:sz w:val="28"/>
                <w:szCs w:val="28"/>
                <w:lang w:eastAsia="zh-CN"/>
              </w:rPr>
              <w:t>水务局、兴仁镇人民政府</w:t>
            </w:r>
            <w:bookmarkStart w:id="0" w:name="_GoBack"/>
            <w:bookmarkEnd w:id="0"/>
            <w:r>
              <w:rPr>
                <w:rFonts w:hint="default" w:ascii="Times New Roman" w:hAnsi="Times New Roman" w:eastAsia="仿宋" w:cs="Times New Roman"/>
                <w:color w:val="000000" w:themeColor="text1"/>
                <w:kern w:val="0"/>
                <w:sz w:val="28"/>
                <w:szCs w:val="28"/>
                <w:highlight w:val="none"/>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210" w:firstLine="420" w:firstLineChars="150"/>
              <w:textAlignment w:val="auto"/>
              <w:rPr>
                <w:rFonts w:hint="default" w:ascii="Times New Roman" w:hAnsi="Times New Roman" w:eastAsia="仿宋" w:cs="Times New Roman"/>
                <w:color w:val="000000" w:themeColor="text1"/>
                <w:kern w:val="0"/>
                <w:sz w:val="28"/>
                <w:szCs w:val="28"/>
                <w:lang w:eastAsia="zh-CN"/>
              </w:rPr>
            </w:pPr>
            <w:r>
              <w:rPr>
                <w:rFonts w:hint="default" w:ascii="Times New Roman" w:hAnsi="Times New Roman" w:eastAsia="仿宋" w:cs="Times New Roman"/>
                <w:color w:val="000000" w:themeColor="text1"/>
                <w:kern w:val="0"/>
                <w:sz w:val="28"/>
                <w:szCs w:val="28"/>
              </w:rPr>
              <w:t xml:space="preserve">中卫市沙坡头区发展和改革局            </w:t>
            </w:r>
            <w:r>
              <w:rPr>
                <w:rFonts w:hint="eastAsia" w:ascii="Times New Roman" w:hAnsi="Times New Roman" w:eastAsia="仿宋" w:cs="Times New Roman"/>
                <w:color w:val="000000" w:themeColor="text1"/>
                <w:kern w:val="0"/>
                <w:sz w:val="28"/>
                <w:szCs w:val="28"/>
                <w:lang w:val="en-US" w:eastAsia="zh-CN"/>
              </w:rPr>
              <w:t xml:space="preserve">  </w:t>
            </w:r>
            <w:r>
              <w:rPr>
                <w:rFonts w:hint="default" w:ascii="Times New Roman" w:hAnsi="Times New Roman" w:eastAsia="仿宋" w:cs="Times New Roman"/>
                <w:color w:val="000000" w:themeColor="text1"/>
                <w:kern w:val="0"/>
                <w:sz w:val="28"/>
                <w:szCs w:val="28"/>
              </w:rPr>
              <w:t>20</w:t>
            </w:r>
            <w:r>
              <w:rPr>
                <w:rFonts w:hint="eastAsia" w:ascii="Times New Roman" w:hAnsi="Times New Roman" w:eastAsia="仿宋" w:cs="Times New Roman"/>
                <w:color w:val="000000" w:themeColor="text1"/>
                <w:kern w:val="0"/>
                <w:sz w:val="28"/>
                <w:szCs w:val="28"/>
                <w:lang w:val="en-US" w:eastAsia="zh-CN"/>
              </w:rPr>
              <w:t>21</w:t>
            </w:r>
            <w:r>
              <w:rPr>
                <w:rFonts w:hint="default" w:ascii="Times New Roman" w:hAnsi="Times New Roman" w:eastAsia="仿宋" w:cs="Times New Roman"/>
                <w:color w:val="000000" w:themeColor="text1"/>
                <w:kern w:val="0"/>
                <w:sz w:val="28"/>
                <w:szCs w:val="28"/>
              </w:rPr>
              <w:t>年</w:t>
            </w:r>
            <w:r>
              <w:rPr>
                <w:rFonts w:hint="eastAsia" w:ascii="Times New Roman" w:hAnsi="Times New Roman" w:eastAsia="仿宋" w:cs="Times New Roman"/>
                <w:color w:val="000000" w:themeColor="text1"/>
                <w:kern w:val="0"/>
                <w:sz w:val="28"/>
                <w:szCs w:val="28"/>
                <w:lang w:val="en-US" w:eastAsia="zh-CN"/>
              </w:rPr>
              <w:t>1</w:t>
            </w:r>
            <w:r>
              <w:rPr>
                <w:rFonts w:hint="default" w:ascii="Times New Roman" w:hAnsi="Times New Roman" w:eastAsia="仿宋" w:cs="Times New Roman"/>
                <w:color w:val="000000" w:themeColor="text1"/>
                <w:kern w:val="0"/>
                <w:sz w:val="28"/>
                <w:szCs w:val="28"/>
              </w:rPr>
              <w:t>月</w:t>
            </w:r>
            <w:r>
              <w:rPr>
                <w:rFonts w:hint="eastAsia" w:ascii="Times New Roman" w:hAnsi="Times New Roman" w:eastAsia="仿宋" w:cs="Times New Roman"/>
                <w:color w:val="000000" w:themeColor="text1"/>
                <w:kern w:val="0"/>
                <w:sz w:val="28"/>
                <w:szCs w:val="28"/>
                <w:lang w:val="en-US" w:eastAsia="zh-CN"/>
              </w:rPr>
              <w:t>22</w:t>
            </w:r>
            <w:r>
              <w:rPr>
                <w:rFonts w:hint="default" w:ascii="Times New Roman" w:hAnsi="Times New Roman" w:eastAsia="仿宋" w:cs="Times New Roman"/>
                <w:color w:val="000000" w:themeColor="text1"/>
                <w:kern w:val="0"/>
                <w:sz w:val="28"/>
                <w:szCs w:val="28"/>
              </w:rPr>
              <w:t>日印发</w:t>
            </w:r>
          </w:p>
        </w:tc>
      </w:tr>
    </w:tbl>
    <w:p>
      <w:pPr>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cs="Times New Roman"/>
        </w:rPr>
      </w:pPr>
    </w:p>
    <w:sectPr>
      <w:footerReference r:id="rId5" w:type="first"/>
      <w:footerReference r:id="rId3" w:type="default"/>
      <w:footerReference r:id="rId4" w:type="even"/>
      <w:pgSz w:w="11906" w:h="16838"/>
      <w:pgMar w:top="2098" w:right="1474" w:bottom="1984" w:left="1588" w:header="851" w:footer="1418" w:gutter="0"/>
      <w:pgNumType w:fmt="numberInDash"/>
      <w:cols w:space="425" w:num="1"/>
      <w:titlePg/>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85"/>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8"/>
      <w:jc w:val="center"/>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62"/>
      <w:docPartObj>
        <w:docPartGallery w:val="autotext"/>
      </w:docPartObj>
    </w:sdtPr>
    <w:sdtEndPr>
      <w:rPr>
        <w:rFonts w:asciiTheme="minorEastAsia" w:hAnsiTheme="minorEastAsia"/>
        <w:sz w:val="28"/>
        <w:szCs w:val="28"/>
      </w:rPr>
    </w:sdtEndPr>
    <w:sdtContent>
      <w:p>
        <w:pPr>
          <w:pStyle w:val="3"/>
          <w:ind w:firstLine="3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90"/>
      <w:jc w:val="right"/>
    </w:pP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6489"/>
    <w:rsid w:val="0000554A"/>
    <w:rsid w:val="00006C23"/>
    <w:rsid w:val="00006CF3"/>
    <w:rsid w:val="000360B5"/>
    <w:rsid w:val="00037624"/>
    <w:rsid w:val="00053539"/>
    <w:rsid w:val="00081FC7"/>
    <w:rsid w:val="000A41A8"/>
    <w:rsid w:val="001062C3"/>
    <w:rsid w:val="001105B6"/>
    <w:rsid w:val="00122475"/>
    <w:rsid w:val="00131F7E"/>
    <w:rsid w:val="0014799F"/>
    <w:rsid w:val="001512D6"/>
    <w:rsid w:val="00152542"/>
    <w:rsid w:val="00154EB6"/>
    <w:rsid w:val="001715BD"/>
    <w:rsid w:val="00176D50"/>
    <w:rsid w:val="00192231"/>
    <w:rsid w:val="00196EEF"/>
    <w:rsid w:val="001A0798"/>
    <w:rsid w:val="001A7A2F"/>
    <w:rsid w:val="001B3459"/>
    <w:rsid w:val="001C131C"/>
    <w:rsid w:val="001E045C"/>
    <w:rsid w:val="001E1E9D"/>
    <w:rsid w:val="001E71DF"/>
    <w:rsid w:val="001F620A"/>
    <w:rsid w:val="002436FE"/>
    <w:rsid w:val="002643C7"/>
    <w:rsid w:val="00272F5A"/>
    <w:rsid w:val="0027374E"/>
    <w:rsid w:val="002C068B"/>
    <w:rsid w:val="002C6FE5"/>
    <w:rsid w:val="002D01B2"/>
    <w:rsid w:val="002D2EA0"/>
    <w:rsid w:val="002E0ECC"/>
    <w:rsid w:val="002F7B89"/>
    <w:rsid w:val="00315564"/>
    <w:rsid w:val="00320E65"/>
    <w:rsid w:val="003339B2"/>
    <w:rsid w:val="00335151"/>
    <w:rsid w:val="00341948"/>
    <w:rsid w:val="00352FA4"/>
    <w:rsid w:val="00360E02"/>
    <w:rsid w:val="00383F0A"/>
    <w:rsid w:val="003B54A7"/>
    <w:rsid w:val="003C1A7E"/>
    <w:rsid w:val="003D053F"/>
    <w:rsid w:val="003D065E"/>
    <w:rsid w:val="003E5C7F"/>
    <w:rsid w:val="003E6FE4"/>
    <w:rsid w:val="003F0128"/>
    <w:rsid w:val="003F0571"/>
    <w:rsid w:val="003F2C6A"/>
    <w:rsid w:val="003F5934"/>
    <w:rsid w:val="004007C0"/>
    <w:rsid w:val="00414DD2"/>
    <w:rsid w:val="004162AF"/>
    <w:rsid w:val="00416C86"/>
    <w:rsid w:val="00435763"/>
    <w:rsid w:val="00437783"/>
    <w:rsid w:val="00442BC3"/>
    <w:rsid w:val="0044738E"/>
    <w:rsid w:val="00491357"/>
    <w:rsid w:val="0049336D"/>
    <w:rsid w:val="004A54D7"/>
    <w:rsid w:val="004D0B67"/>
    <w:rsid w:val="005065EF"/>
    <w:rsid w:val="00512DF2"/>
    <w:rsid w:val="005307F8"/>
    <w:rsid w:val="0053416C"/>
    <w:rsid w:val="005416D6"/>
    <w:rsid w:val="00551301"/>
    <w:rsid w:val="00554CB3"/>
    <w:rsid w:val="0057089E"/>
    <w:rsid w:val="00572B1E"/>
    <w:rsid w:val="00583760"/>
    <w:rsid w:val="005A3036"/>
    <w:rsid w:val="005A7E32"/>
    <w:rsid w:val="005C0473"/>
    <w:rsid w:val="005C0C3B"/>
    <w:rsid w:val="005C758B"/>
    <w:rsid w:val="005D35DA"/>
    <w:rsid w:val="00600FD9"/>
    <w:rsid w:val="00615B71"/>
    <w:rsid w:val="006218C9"/>
    <w:rsid w:val="006424C1"/>
    <w:rsid w:val="006449E3"/>
    <w:rsid w:val="00645AB0"/>
    <w:rsid w:val="006614DE"/>
    <w:rsid w:val="00663984"/>
    <w:rsid w:val="00666852"/>
    <w:rsid w:val="00673BAA"/>
    <w:rsid w:val="006B5806"/>
    <w:rsid w:val="006C00FF"/>
    <w:rsid w:val="006C212B"/>
    <w:rsid w:val="006C5F54"/>
    <w:rsid w:val="006D7A22"/>
    <w:rsid w:val="006F3389"/>
    <w:rsid w:val="00717085"/>
    <w:rsid w:val="0073430E"/>
    <w:rsid w:val="00734A9A"/>
    <w:rsid w:val="00737245"/>
    <w:rsid w:val="007377EA"/>
    <w:rsid w:val="0075219F"/>
    <w:rsid w:val="00763080"/>
    <w:rsid w:val="007661EA"/>
    <w:rsid w:val="00774C1D"/>
    <w:rsid w:val="007801CB"/>
    <w:rsid w:val="00791F6D"/>
    <w:rsid w:val="007B5674"/>
    <w:rsid w:val="007B5E21"/>
    <w:rsid w:val="007C2826"/>
    <w:rsid w:val="007C3847"/>
    <w:rsid w:val="007D7C24"/>
    <w:rsid w:val="007E0981"/>
    <w:rsid w:val="007E4346"/>
    <w:rsid w:val="007E560C"/>
    <w:rsid w:val="007E6C8F"/>
    <w:rsid w:val="007F5607"/>
    <w:rsid w:val="007F76DB"/>
    <w:rsid w:val="00813ED7"/>
    <w:rsid w:val="00814A4F"/>
    <w:rsid w:val="008226C6"/>
    <w:rsid w:val="008301C7"/>
    <w:rsid w:val="008322CD"/>
    <w:rsid w:val="00836C31"/>
    <w:rsid w:val="00874744"/>
    <w:rsid w:val="00882FC2"/>
    <w:rsid w:val="008958FF"/>
    <w:rsid w:val="008A0BE7"/>
    <w:rsid w:val="008C1D67"/>
    <w:rsid w:val="008D0A71"/>
    <w:rsid w:val="008D57FC"/>
    <w:rsid w:val="008F3475"/>
    <w:rsid w:val="008F6731"/>
    <w:rsid w:val="00924FC2"/>
    <w:rsid w:val="00927B62"/>
    <w:rsid w:val="009312EA"/>
    <w:rsid w:val="0094610A"/>
    <w:rsid w:val="00952A83"/>
    <w:rsid w:val="00960C26"/>
    <w:rsid w:val="009708D1"/>
    <w:rsid w:val="00970EA7"/>
    <w:rsid w:val="009841A3"/>
    <w:rsid w:val="0098799C"/>
    <w:rsid w:val="009A0336"/>
    <w:rsid w:val="009A26E1"/>
    <w:rsid w:val="009A35F2"/>
    <w:rsid w:val="009A66B3"/>
    <w:rsid w:val="009B658B"/>
    <w:rsid w:val="009C1B73"/>
    <w:rsid w:val="009C1FDA"/>
    <w:rsid w:val="009D463B"/>
    <w:rsid w:val="009F770E"/>
    <w:rsid w:val="00A15236"/>
    <w:rsid w:val="00A20FA5"/>
    <w:rsid w:val="00A36048"/>
    <w:rsid w:val="00A44CB2"/>
    <w:rsid w:val="00A531C9"/>
    <w:rsid w:val="00A6789A"/>
    <w:rsid w:val="00A9680C"/>
    <w:rsid w:val="00AB67AD"/>
    <w:rsid w:val="00AB7131"/>
    <w:rsid w:val="00AC6831"/>
    <w:rsid w:val="00AD0282"/>
    <w:rsid w:val="00AE5ADB"/>
    <w:rsid w:val="00AF6191"/>
    <w:rsid w:val="00B324A5"/>
    <w:rsid w:val="00B41A42"/>
    <w:rsid w:val="00B43DB9"/>
    <w:rsid w:val="00B506E6"/>
    <w:rsid w:val="00B62D69"/>
    <w:rsid w:val="00B83C6D"/>
    <w:rsid w:val="00B855E6"/>
    <w:rsid w:val="00B94289"/>
    <w:rsid w:val="00B974D5"/>
    <w:rsid w:val="00BA6416"/>
    <w:rsid w:val="00BB1121"/>
    <w:rsid w:val="00BC2DC7"/>
    <w:rsid w:val="00BC4BD3"/>
    <w:rsid w:val="00BD4E51"/>
    <w:rsid w:val="00BE6840"/>
    <w:rsid w:val="00C03F16"/>
    <w:rsid w:val="00C05CA1"/>
    <w:rsid w:val="00C34B9C"/>
    <w:rsid w:val="00C34BF0"/>
    <w:rsid w:val="00C37C2E"/>
    <w:rsid w:val="00C51A7E"/>
    <w:rsid w:val="00C768B8"/>
    <w:rsid w:val="00C97170"/>
    <w:rsid w:val="00CA3925"/>
    <w:rsid w:val="00CA45B1"/>
    <w:rsid w:val="00CC2BB4"/>
    <w:rsid w:val="00CC4262"/>
    <w:rsid w:val="00CD1438"/>
    <w:rsid w:val="00CF656D"/>
    <w:rsid w:val="00D032F9"/>
    <w:rsid w:val="00D10C77"/>
    <w:rsid w:val="00D22CCF"/>
    <w:rsid w:val="00D36489"/>
    <w:rsid w:val="00D92CFC"/>
    <w:rsid w:val="00DB3C50"/>
    <w:rsid w:val="00DD26A1"/>
    <w:rsid w:val="00DD5692"/>
    <w:rsid w:val="00DD6CA9"/>
    <w:rsid w:val="00DF1715"/>
    <w:rsid w:val="00DF48CE"/>
    <w:rsid w:val="00DF55E3"/>
    <w:rsid w:val="00E0043C"/>
    <w:rsid w:val="00E115DE"/>
    <w:rsid w:val="00E47B30"/>
    <w:rsid w:val="00E47F82"/>
    <w:rsid w:val="00E73F67"/>
    <w:rsid w:val="00E769AE"/>
    <w:rsid w:val="00E960F0"/>
    <w:rsid w:val="00EA4EF7"/>
    <w:rsid w:val="00EA72A0"/>
    <w:rsid w:val="00EE6769"/>
    <w:rsid w:val="00F0623C"/>
    <w:rsid w:val="00F3188E"/>
    <w:rsid w:val="00F50401"/>
    <w:rsid w:val="00F60846"/>
    <w:rsid w:val="00F62FF2"/>
    <w:rsid w:val="00F7427A"/>
    <w:rsid w:val="00F74C53"/>
    <w:rsid w:val="00F97A0F"/>
    <w:rsid w:val="00FC2B79"/>
    <w:rsid w:val="00FF175F"/>
    <w:rsid w:val="01AE5000"/>
    <w:rsid w:val="021E4B94"/>
    <w:rsid w:val="0251602B"/>
    <w:rsid w:val="02933588"/>
    <w:rsid w:val="04196673"/>
    <w:rsid w:val="059B2E8C"/>
    <w:rsid w:val="05B834C4"/>
    <w:rsid w:val="06010627"/>
    <w:rsid w:val="077B080C"/>
    <w:rsid w:val="07EC446B"/>
    <w:rsid w:val="083E3BE1"/>
    <w:rsid w:val="08AF19B7"/>
    <w:rsid w:val="093071F1"/>
    <w:rsid w:val="09412DDC"/>
    <w:rsid w:val="0A202E05"/>
    <w:rsid w:val="0B8954AD"/>
    <w:rsid w:val="0D66767A"/>
    <w:rsid w:val="0E5E4003"/>
    <w:rsid w:val="10717EA3"/>
    <w:rsid w:val="114B50D1"/>
    <w:rsid w:val="118E33B7"/>
    <w:rsid w:val="120D61AA"/>
    <w:rsid w:val="126A40D5"/>
    <w:rsid w:val="13806427"/>
    <w:rsid w:val="13F319CC"/>
    <w:rsid w:val="14001A6B"/>
    <w:rsid w:val="156E19F1"/>
    <w:rsid w:val="15FC39CD"/>
    <w:rsid w:val="16032B3D"/>
    <w:rsid w:val="1679520D"/>
    <w:rsid w:val="16F70075"/>
    <w:rsid w:val="18500D58"/>
    <w:rsid w:val="18606D23"/>
    <w:rsid w:val="18DC09DA"/>
    <w:rsid w:val="1A36282A"/>
    <w:rsid w:val="1B186D28"/>
    <w:rsid w:val="1D580C71"/>
    <w:rsid w:val="1DD012A1"/>
    <w:rsid w:val="1F591402"/>
    <w:rsid w:val="209A02D1"/>
    <w:rsid w:val="226422D7"/>
    <w:rsid w:val="230B7D29"/>
    <w:rsid w:val="236A28C9"/>
    <w:rsid w:val="23994C4A"/>
    <w:rsid w:val="247A323C"/>
    <w:rsid w:val="24CF438F"/>
    <w:rsid w:val="25865DAD"/>
    <w:rsid w:val="25D42D88"/>
    <w:rsid w:val="266367EB"/>
    <w:rsid w:val="287419CB"/>
    <w:rsid w:val="2A453CF7"/>
    <w:rsid w:val="2AB368BD"/>
    <w:rsid w:val="2AC236D8"/>
    <w:rsid w:val="2D570EA7"/>
    <w:rsid w:val="2D922A3B"/>
    <w:rsid w:val="31183684"/>
    <w:rsid w:val="332E49AF"/>
    <w:rsid w:val="3546176D"/>
    <w:rsid w:val="3568524D"/>
    <w:rsid w:val="365E6283"/>
    <w:rsid w:val="36CE04BF"/>
    <w:rsid w:val="37D06521"/>
    <w:rsid w:val="37FD6AF2"/>
    <w:rsid w:val="39DC5AB7"/>
    <w:rsid w:val="3A124859"/>
    <w:rsid w:val="3A6F5B70"/>
    <w:rsid w:val="3C4D4F06"/>
    <w:rsid w:val="3D0E746C"/>
    <w:rsid w:val="3E352DDA"/>
    <w:rsid w:val="3E5F5944"/>
    <w:rsid w:val="3EE467AF"/>
    <w:rsid w:val="3F1953E1"/>
    <w:rsid w:val="3F4419B0"/>
    <w:rsid w:val="3F4557C4"/>
    <w:rsid w:val="3F7C4232"/>
    <w:rsid w:val="40E91A2E"/>
    <w:rsid w:val="41B6061A"/>
    <w:rsid w:val="421768F6"/>
    <w:rsid w:val="4369324F"/>
    <w:rsid w:val="43806560"/>
    <w:rsid w:val="456F2E47"/>
    <w:rsid w:val="461141AF"/>
    <w:rsid w:val="468044F0"/>
    <w:rsid w:val="471F20B0"/>
    <w:rsid w:val="495B4287"/>
    <w:rsid w:val="49B23FBA"/>
    <w:rsid w:val="49C47FC2"/>
    <w:rsid w:val="4A3A103B"/>
    <w:rsid w:val="4BFF1392"/>
    <w:rsid w:val="4C055B09"/>
    <w:rsid w:val="4CE6087E"/>
    <w:rsid w:val="4D623065"/>
    <w:rsid w:val="4FCA7583"/>
    <w:rsid w:val="50272BE4"/>
    <w:rsid w:val="5293213C"/>
    <w:rsid w:val="539109E6"/>
    <w:rsid w:val="55182AE4"/>
    <w:rsid w:val="55D36767"/>
    <w:rsid w:val="56E1773D"/>
    <w:rsid w:val="57114567"/>
    <w:rsid w:val="57EB40E8"/>
    <w:rsid w:val="580507FA"/>
    <w:rsid w:val="5971283C"/>
    <w:rsid w:val="5D867C2C"/>
    <w:rsid w:val="5ECB6DAD"/>
    <w:rsid w:val="605E69F8"/>
    <w:rsid w:val="61CC3365"/>
    <w:rsid w:val="6255179C"/>
    <w:rsid w:val="62854F1A"/>
    <w:rsid w:val="62CC3449"/>
    <w:rsid w:val="62F12EF3"/>
    <w:rsid w:val="63706BAA"/>
    <w:rsid w:val="646B2ACD"/>
    <w:rsid w:val="65780100"/>
    <w:rsid w:val="65B4193E"/>
    <w:rsid w:val="670608B7"/>
    <w:rsid w:val="67FB4169"/>
    <w:rsid w:val="69F86C45"/>
    <w:rsid w:val="6AD5191E"/>
    <w:rsid w:val="6CFC2702"/>
    <w:rsid w:val="718C3573"/>
    <w:rsid w:val="71BF37FA"/>
    <w:rsid w:val="71CA776B"/>
    <w:rsid w:val="71F776B0"/>
    <w:rsid w:val="738E3356"/>
    <w:rsid w:val="763D4840"/>
    <w:rsid w:val="768C26B9"/>
    <w:rsid w:val="77AB5BFE"/>
    <w:rsid w:val="7C93151C"/>
    <w:rsid w:val="7CFA4442"/>
    <w:rsid w:val="7D665249"/>
    <w:rsid w:val="7E30329C"/>
    <w:rsid w:val="7EF84CD3"/>
    <w:rsid w:val="7FA848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paragraph" w:customStyle="1" w:styleId="8">
    <w:name w:val="页脚1"/>
    <w:basedOn w:val="1"/>
    <w:next w:val="3"/>
    <w:link w:val="9"/>
    <w:unhideWhenUsed/>
    <w:qFormat/>
    <w:uiPriority w:val="99"/>
    <w:pPr>
      <w:tabs>
        <w:tab w:val="center" w:pos="4153"/>
        <w:tab w:val="right" w:pos="8306"/>
      </w:tabs>
      <w:snapToGrid w:val="0"/>
      <w:jc w:val="left"/>
    </w:pPr>
    <w:rPr>
      <w:rFonts w:eastAsia="华文仿宋"/>
      <w:sz w:val="18"/>
      <w:szCs w:val="18"/>
    </w:rPr>
  </w:style>
  <w:style w:type="character" w:customStyle="1" w:styleId="9">
    <w:name w:val="页脚 Char"/>
    <w:basedOn w:val="7"/>
    <w:link w:val="8"/>
    <w:qFormat/>
    <w:uiPriority w:val="99"/>
    <w:rPr>
      <w:rFonts w:eastAsia="华文仿宋"/>
      <w:sz w:val="18"/>
      <w:szCs w:val="18"/>
    </w:rPr>
  </w:style>
  <w:style w:type="character" w:customStyle="1" w:styleId="10">
    <w:name w:val="页脚 Char1"/>
    <w:basedOn w:val="7"/>
    <w:link w:val="3"/>
    <w:semiHidden/>
    <w:qFormat/>
    <w:uiPriority w:val="99"/>
    <w:rPr>
      <w:sz w:val="18"/>
      <w:szCs w:val="18"/>
    </w:rPr>
  </w:style>
  <w:style w:type="character" w:customStyle="1" w:styleId="11">
    <w:name w:val="页眉 Char"/>
    <w:basedOn w:val="7"/>
    <w:link w:val="4"/>
    <w:qFormat/>
    <w:uiPriority w:val="99"/>
    <w:rPr>
      <w:sz w:val="18"/>
      <w:szCs w:val="18"/>
    </w:rPr>
  </w:style>
  <w:style w:type="paragraph" w:customStyle="1" w:styleId="12">
    <w:name w:val="Char2"/>
    <w:basedOn w:val="1"/>
    <w:qFormat/>
    <w:uiPriority w:val="0"/>
    <w:pPr>
      <w:spacing w:line="360" w:lineRule="auto"/>
      <w:ind w:firstLine="200" w:firstLineChars="200"/>
    </w:pPr>
    <w:rPr>
      <w:rFonts w:ascii="宋体" w:hAnsi="宋体" w:eastAsia="宋体" w:cs="宋体"/>
      <w:sz w:val="24"/>
      <w:szCs w:val="24"/>
    </w:rPr>
  </w:style>
  <w:style w:type="character" w:customStyle="1" w:styleId="13">
    <w:name w:val="日期 Char"/>
    <w:basedOn w:val="7"/>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145</Words>
  <Characters>828</Characters>
  <Lines>6</Lines>
  <Paragraphs>1</Paragraphs>
  <TotalTime>3</TotalTime>
  <ScaleCrop>false</ScaleCrop>
  <LinksUpToDate>false</LinksUpToDate>
  <CharactersWithSpaces>972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2017-12-25T08:19:00Z</dcterms:created>
  <dc:creator>PC</dc:creator>
  <cp:lastModifiedBy>花花</cp:lastModifiedBy>
  <cp:lastPrinted>2018-12-25T01:34:00Z</cp:lastPrinted>
  <dcterms:modified xsi:type="dcterms:W3CDTF">2021-08-23T06:46:39Z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5CB6E23966DA41CB83CE3A50850C0D88</vt:lpwstr>
  </property>
</Properties>
</file>