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沙坡头区迎水桥镇上滩下滩贫困村水利设施</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建设项目竣工验收鉴定书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2020年10月15日，沙坡头区发展和改革局会同财政局、自然资源局、水务局组成竣工验收小组，对沙坡头区迎水桥镇</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滩下滩贫困村水利设施建设项目进行竣工验收，项目法人、设计、监理、施工等参建单位代表参加了验收。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2019年7月4日，沙坡头区发展和改革局以《关于沙坡头区迎水桥镇上滩下滩贫困村水利设旌建设项目建设方案的批复》（卫沙发改</w:t>
      </w:r>
      <w:r>
        <w:rPr>
          <w:rFonts w:hint="eastAsia" w:ascii="Times New Roman" w:hAnsi="Times New Roman" w:eastAsia="仿宋_GB2312" w:cs="Times New Roman"/>
          <w:sz w:val="32"/>
          <w:szCs w:val="32"/>
          <w:lang w:val="en-US" w:eastAsia="zh-CN"/>
        </w:rPr>
        <w:t>审批</w:t>
      </w:r>
      <w:bookmarkStart w:id="0" w:name="_GoBack"/>
      <w:bookmarkEnd w:id="0"/>
      <w:r>
        <w:rPr>
          <w:rFonts w:hint="default" w:ascii="Times New Roman" w:hAnsi="Times New Roman" w:eastAsia="仿宋_GB2312" w:cs="Times New Roman"/>
          <w:sz w:val="32"/>
          <w:szCs w:val="32"/>
          <w:lang w:val="en-US" w:eastAsia="zh-CN"/>
        </w:rPr>
        <w:t>发〔20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〕95号）批准了项目建设</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案。批复主要建设内容为：新建泵站管理房2座；新建出水池3座，维修截潜坝1座；新建20立方米蓄水池1座，新建围墙43.48米；砌护防洪护坡1093米、D40 农渠150米、D30农渠640米，铺设de</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PE管270米；铺设0.4Kv低压输电线路0.105千米，配套离心泵2台套。项目概算总投资178.26万元，资金来源为扶贫专项资金。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项目建设单位为沙坡头区扶贫开发办公室，项目设计单位为宁夏中卫市水利勘测设计院（有限公司），施</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单位为宁夏晟弘建筑工程有限公司，监理单位为宁夏华磊建设监理有限公司。项目在建设过程中，落实了项目法人责任制、招投标制、合同管理制、工程建设监理制。项目法人单位采取合同委托的方</w:t>
      </w:r>
      <w:r>
        <w:rPr>
          <w:rFonts w:hint="eastAsia" w:ascii="Times New Roman" w:hAnsi="Times New Roman" w:eastAsia="仿宋_GB2312" w:cs="Times New Roman"/>
          <w:sz w:val="32"/>
          <w:szCs w:val="32"/>
          <w:lang w:val="en-US" w:eastAsia="zh-CN"/>
        </w:rPr>
        <w:t>式确</w:t>
      </w:r>
      <w:r>
        <w:rPr>
          <w:rFonts w:hint="default" w:ascii="Times New Roman" w:hAnsi="Times New Roman" w:eastAsia="仿宋_GB2312" w:cs="Times New Roman"/>
          <w:sz w:val="32"/>
          <w:szCs w:val="32"/>
          <w:lang w:val="en-US" w:eastAsia="zh-CN"/>
        </w:rPr>
        <w:t>定了项目勘查设计、监理单位，采取邀请招标的方式确定了施</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2019 年7月30日，该项目采取邀请招标方式，确定中标单位为宁夏晟弘建筑工程有限公司，中标价1572365.47元。项目于2019年8月15日开工建设，2020年4月16日完工。2020年6月5日，沙坡头区扶贫开发办公室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项目批复概算总投资为178.26万元，实际完成投</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175.45 万元，其中：审定</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程造价166.85万元，设计费4.9万元，监理费 2.5万元，控制价编制费0.7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元，竣工结算编制费0.5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元。较概算结余2.8万元，节约率约为1.57 %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。原则同意沙坡头区迎水桥镇上滩下滩贫困村水利设施建设项目通过竣工验收。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w:t>
            </w:r>
            <w:r>
              <w:rPr>
                <w:rFonts w:hint="eastAsia" w:ascii="Times New Roman" w:hAnsi="Times New Roman" w:eastAsia="仿宋" w:cs="Times New Roman"/>
                <w:color w:val="000000" w:themeColor="text1"/>
                <w:kern w:val="0"/>
                <w:sz w:val="28"/>
                <w:szCs w:val="28"/>
                <w:lang w:eastAsia="zh-CN"/>
              </w:rPr>
              <w:t>水务局、自然资源局</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1183684"/>
    <w:rsid w:val="332E49AF"/>
    <w:rsid w:val="3546176D"/>
    <w:rsid w:val="3568524D"/>
    <w:rsid w:val="365E6283"/>
    <w:rsid w:val="36CE04BF"/>
    <w:rsid w:val="37850363"/>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CA776B"/>
    <w:rsid w:val="71F776B0"/>
    <w:rsid w:val="738E3356"/>
    <w:rsid w:val="763D4840"/>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8</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2021-08-20T10:17:54Z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