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single"/>
        </w:rPr>
        <w:t>202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</w:rPr>
        <w:t>东园镇人民政府           报送人：马艳                         2022年1月5日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3.行政处罚中，单处一个类别行政处罚的，计入相应的行政处罚类别；并处两种以上行政处罚的，按一件行政处罚计算，计入最重的行政处罚类别。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4.行政检查中，检查一个检查对象的，有完整、详细的检查记录，计为检查1次；无特定检查对象的巡查、巡逻，无完整、详细检查记录，检查后作出行政处罚等其他行政执法行为的，均不计为检查次数。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spacing w:line="560" w:lineRule="exact"/>
        <w:ind w:left="276" w:leftChars="57" w:right="210" w:rightChars="100" w:hanging="156" w:hangingChars="56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0557226"/>
    <w:rsid w:val="005C7FB3"/>
    <w:rsid w:val="0061039A"/>
    <w:rsid w:val="008073C1"/>
    <w:rsid w:val="00956CCB"/>
    <w:rsid w:val="00DE10D8"/>
    <w:rsid w:val="00E35927"/>
    <w:rsid w:val="00F03754"/>
    <w:rsid w:val="24E2586C"/>
    <w:rsid w:val="7D5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751</Characters>
  <Lines>6</Lines>
  <Paragraphs>1</Paragraphs>
  <TotalTime>4</TotalTime>
  <ScaleCrop>false</ScaleCrop>
  <LinksUpToDate>false</LinksUpToDate>
  <CharactersWithSpaces>881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2022-01-05T03:17:00Z</dcterms:created>
  <dc:creator>Administrator</dc:creator>
  <cp:lastModifiedBy>G'</cp:lastModifiedBy>
  <dcterms:modified xsi:type="dcterms:W3CDTF">2022-01-14T01:59:32Z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C59B87ED97DD4944A6957177B05FCA06</vt:lpwstr>
  </property>
</Properties>
</file>