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1920" w:hangingChars="60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中卫市沙坡头区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东园镇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“谁执法谁普法”四个清单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工作分解表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7"/>
        <w:tblW w:w="13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243"/>
        <w:gridCol w:w="2310"/>
        <w:gridCol w:w="3347"/>
        <w:gridCol w:w="3300"/>
        <w:gridCol w:w="16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7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3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310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3300" w:type="dxa"/>
            <w:vMerge w:val="restart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标准清单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vMerge w:val="continue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普法责任主体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5" w:hRule="atLeast"/>
          <w:jc w:val="center"/>
        </w:trPr>
        <w:tc>
          <w:tcPr>
            <w:tcW w:w="4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习近平法治思想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pStyle w:val="11"/>
              <w:spacing w:line="295" w:lineRule="exact"/>
              <w:ind w:left="107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 将习近平法治思想列入党委理论学习中心组、基层党支部党员学习内容，通过专题会议、专门研讨等形式，深入开展习近平法治思想学习活动。2.制定学习培训计划，创新方式方法，通过举办培训班、学习班、研讨班，运用“学习强国”、干部教育培训网络学院等平台，组织开展多形式、分层次的学习培训。3.通过开展大讲堂、报告会等活动，组织推动新闻媒体以专题报道、发表评论员文章、组织访谈、开设专栏等方式，宣传习近平法治思想及其生动实践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11"/>
              <w:spacing w:line="295" w:lineRule="exact"/>
              <w:ind w:left="107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将学习宣传习近平法治思想纳入普法工作全局，与业务工作同部署、同检查、同落实。2.每年组织党员干部至少开展1次习近平法治思想专题学习或研讨培训。3.深刻认识习近平法治思想重大意义，吃透基本精神、把握核心要义、明确工作要求，在学懂弄通做实上下功夫，在学思悟贯通、知信行合一上见实效。4.通过广泛的学习宣传阐释工作，增强“四个意识”、坚定“四个自信”、做到“两个维护”。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综合办公室牵头，其他业务办公室配合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全体干部职工；基层群众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5" w:hRule="atLeast"/>
          <w:jc w:val="center"/>
        </w:trPr>
        <w:tc>
          <w:tcPr>
            <w:tcW w:w="4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宪法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11"/>
              <w:spacing w:line="295" w:lineRule="exact"/>
              <w:ind w:left="107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《宪法》及《国旗法》《国歌法》《国徽法》等相关法律法规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1.结合“12·4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”国家宪法日，开展“宪法宣传周”活动，广泛开展宪法学习宣传教育。2.国家工作人员依照法律规定开展宪法宣誓活动。3.加强《国旗法》《国歌法》《国徽法》等宪法相关法的学习宣传，加强日常管理，带头规范升挂国旗、奏唱国歌和悬挂国徽等行为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推动领导干部带头尊崇宪法、学习宪法、遵守宪法、维护宪法、运用宪法，提升各级党员领导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综治中心牵头，其他业务办公室配合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11"/>
              <w:spacing w:before="9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全体干部职工；基层群众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0" w:hRule="atLeast"/>
          <w:jc w:val="center"/>
        </w:trPr>
        <w:tc>
          <w:tcPr>
            <w:tcW w:w="4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中国特色社会主义法律体系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11"/>
              <w:spacing w:line="295" w:lineRule="exact"/>
              <w:ind w:left="107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《民法典》《刑法》</w:t>
            </w:r>
          </w:p>
          <w:p>
            <w:pPr>
              <w:pStyle w:val="11"/>
              <w:spacing w:line="295" w:lineRule="exact"/>
              <w:ind w:left="107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《刑事诉讼法》《民事诉讼法》《行政许可法》《行政处罚法》《行政强制法》《行政诉讼法》《行政复议法》《公务员法》《中华人民共和国保守国家秘密法》《国家安全法》《反分裂国家法》《安全生产法》《禁毒法》《民族区域自治法》《国家赔偿法》《监察法》《劳动法》等法律法规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pStyle w:val="11"/>
              <w:spacing w:line="270" w:lineRule="exact"/>
              <w:ind w:left="107" w:leftChars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落实党政主要负责人履行推进法治建设第一责任人职责规定，带头讲法治课，做学法表率，全面实行领导干部年终述法制度。2.各级党委、党支部每月开展“一法一条例”的学习。3.在“4.15”国家安全日、“6.26”国际禁毒日、“民法典”宣传月、安全生产月、保密宣传月、民族团结月等重要时间节点开展普法学习宣传。4.把法治教育纳入干部教育培训总体规划，健全完善干部学法用法培训机制，加强对干部学法用法考核。5.开展“开放日”活动，面向社会公众展示公正文明执法良好形象。6.大力开展法治文化建设，运用各类媒体、平台、普法宣传阵地普及法律知识，传播法治信仰。7.将普法宣传工作纳入效能考核，作为评先选优、选拔任用干部重要依据。8.开展相关法律法规知识测试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党政主要负责人在年终述职述廉的同时进行述法，带头上法治课每年不少于2次。2.党委理论学习中心组、干部日常学法制度健全，有学习计划，有明确学习任务，并保证学习时间和效果。3.积极利用法律宣传日、宣传周、宣传月等载体开展法治宣传活动，每年不少于1次。4.每年开展一次干部网上学法用法考试，参学率、通过率达 98% 以上。5.国家工作人员参加现场和网上旁听庭审每年至少1次。6.每年至少开展1次“开放日”活动。7.法治文化阵地建设成效显著，法治文化氛围浓厚。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综治中心牵头，其他业务办公室配合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全体干部职工；基层群众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0" w:hRule="atLeast"/>
          <w:jc w:val="center"/>
        </w:trPr>
        <w:tc>
          <w:tcPr>
            <w:tcW w:w="4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党内法规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11"/>
              <w:spacing w:line="270" w:lineRule="exact"/>
              <w:ind w:left="107" w:leftChars="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力保障条例》《中国共产党廉洁自律准则》《关于新形势下党内政治生活的若干准则》等党内法规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pStyle w:val="11"/>
              <w:spacing w:line="273" w:lineRule="exact"/>
              <w:ind w:left="107" w:leftChars="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把重要党内法规列为党委理论学习中心组学习的重要内容，以党章、准则、条例等为重点。2.把学习党内法规作为基层党组织“三会一课”内容。3.持续开展“以案释法”反腐倡廉典型案例宣传活动，发挥正面典型倡导和反面案例警示作用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建立党内法规学习宣传责任制，注重党内法规宣传同国家法律宣传的衔接协调。2.把党内法规学习与“法律进机关”结合，组织开展互动性强的主题宣传活动。3.注重用身边事例、现身说法，切实增强党内法规学习宣传感染力和实效性。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党建办公室牵头，其他业务办公室配合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全体党员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1" w:hRule="atLeast"/>
          <w:jc w:val="center"/>
        </w:trPr>
        <w:tc>
          <w:tcPr>
            <w:tcW w:w="487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与业务相关的法律法规规章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pStyle w:val="11"/>
              <w:spacing w:line="270" w:lineRule="exact"/>
              <w:ind w:left="107" w:leftChars="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《中华人民共和国保守国家秘密法》《档案法》《网络安全法》《数据安全法》《信访工作条例》《政府信息公开条例》《安全生产法》《宁夏回族自治区禁毒条例》《中卫市农作物秸秆处置条例》等法律法规</w:t>
            </w:r>
          </w:p>
        </w:tc>
        <w:tc>
          <w:tcPr>
            <w:tcW w:w="3347" w:type="dxa"/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288"/>
              </w:tabs>
              <w:spacing w:before="0" w:after="0" w:line="304" w:lineRule="exact"/>
              <w:ind w:left="106" w:leftChars="0" w:right="0" w:right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1.举办有关法治讲座、培训班。2.结合“法律八进”活动，组织开展以案释法活动。3.把学习相关法律作为基层党组织“ 三会一课”内容，列入每月“一法一条例”的学习。4.开展相关法律法规知识测试。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1.将普法工作纳入本单位工作全局，与业务工作同部署、同检查、同落实。2.积极利用法律宣传日、宣传周、宣传月等载体，开展法治宣传活动，每年不少于1次。3.学法、普法活动有记录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、有资料。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综治中心牵头，其他业务办公室配合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zh-CN"/>
              </w:rPr>
              <w:t>全体干部职工；基层群众</w:t>
            </w:r>
          </w:p>
        </w:tc>
      </w:tr>
    </w:tbl>
    <w:p>
      <w:pPr>
        <w:pStyle w:val="5"/>
        <w:rPr>
          <w:rFonts w:hint="default"/>
          <w:lang w:eastAsia="zh-CN"/>
        </w:rPr>
        <w:sectPr>
          <w:footerReference r:id="rId3" w:type="default"/>
          <w:pgSz w:w="16838" w:h="11906" w:orient="landscape"/>
          <w:pgMar w:top="1587" w:right="2041" w:bottom="1474" w:left="1757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792B"/>
    <w:rsid w:val="3240792B"/>
    <w:rsid w:val="66C9CEF2"/>
    <w:rsid w:val="FD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目录1.1"/>
    <w:basedOn w:val="10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0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2022-05-05T17:27:00Z</dcterms:created>
  <dc:creator>G'</dc:creator>
  <cp:lastModifiedBy>ql</cp:lastModifiedBy>
  <dcterms:modified xsi:type="dcterms:W3CDTF">2024-01-11T17:27:33Z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B97D74B48FC047FEA299CA625F958544</vt:lpwstr>
  </property>
</Properties>
</file>