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ind w:right="0"/>
        <w:jc w:val="center"/>
        <w:textAlignment w:val="auto"/>
        <w:rPr>
          <w:rFonts w:hint="eastAsia" w:ascii="方正小标宋简体" w:hAnsi="方正小标宋简体" w:eastAsia="方正小标宋简体" w:cs="方正小标宋简体"/>
          <w:spacing w:val="-6"/>
          <w:w w:val="99"/>
          <w:sz w:val="44"/>
          <w:szCs w:val="44"/>
        </w:rPr>
      </w:pPr>
    </w:p>
    <w:p>
      <w:pPr>
        <w:keepNext w:val="0"/>
        <w:keepLines w:val="0"/>
        <w:pageBreakBefore w:val="0"/>
        <w:widowControl w:val="0"/>
        <w:kinsoku/>
        <w:wordWrap/>
        <w:overflowPunct/>
        <w:topLinePunct w:val="0"/>
        <w:autoSpaceDE/>
        <w:autoSpaceDN/>
        <w:bidi w:val="0"/>
        <w:adjustRightInd/>
        <w:snapToGrid/>
        <w:spacing w:line="620" w:lineRule="exact"/>
        <w:ind w:right="0"/>
        <w:jc w:val="center"/>
        <w:textAlignment w:val="auto"/>
        <w:outlineLvl w:val="9"/>
        <w:rPr>
          <w:rFonts w:hint="eastAsia" w:ascii="方正小标宋简体" w:hAnsi="方正小标宋简体" w:eastAsia="方正小标宋简体" w:cs="方正小标宋简体"/>
          <w:spacing w:val="0"/>
          <w:w w:val="100"/>
          <w:sz w:val="44"/>
          <w:szCs w:val="44"/>
        </w:rPr>
      </w:pPr>
      <w:r>
        <w:rPr>
          <w:rFonts w:hint="eastAsia" w:ascii="方正小标宋简体" w:hAnsi="方正小标宋简体" w:eastAsia="方正小标宋简体" w:cs="方正小标宋简体"/>
          <w:spacing w:val="0"/>
          <w:w w:val="100"/>
          <w:sz w:val="44"/>
          <w:szCs w:val="44"/>
        </w:rPr>
        <w:t>关于中卫市沙坡头区2018年财政预算执行</w:t>
      </w:r>
    </w:p>
    <w:p>
      <w:pPr>
        <w:keepNext w:val="0"/>
        <w:keepLines w:val="0"/>
        <w:pageBreakBefore w:val="0"/>
        <w:widowControl w:val="0"/>
        <w:kinsoku/>
        <w:wordWrap/>
        <w:overflowPunct/>
        <w:topLinePunct w:val="0"/>
        <w:autoSpaceDE/>
        <w:autoSpaceDN/>
        <w:bidi w:val="0"/>
        <w:adjustRightInd/>
        <w:snapToGrid/>
        <w:spacing w:line="620" w:lineRule="exact"/>
        <w:ind w:right="0"/>
        <w:jc w:val="center"/>
        <w:textAlignment w:val="auto"/>
        <w:outlineLvl w:val="9"/>
        <w:rPr>
          <w:rFonts w:hint="eastAsia" w:ascii="方正小标宋简体" w:hAnsi="方正小标宋简体" w:eastAsia="方正小标宋简体" w:cs="方正小标宋简体"/>
          <w:spacing w:val="0"/>
          <w:w w:val="100"/>
          <w:sz w:val="44"/>
          <w:szCs w:val="44"/>
        </w:rPr>
      </w:pPr>
      <w:r>
        <w:rPr>
          <w:rFonts w:hint="eastAsia" w:ascii="方正小标宋简体" w:hAnsi="方正小标宋简体" w:eastAsia="方正小标宋简体" w:cs="方正小标宋简体"/>
          <w:spacing w:val="0"/>
          <w:w w:val="100"/>
          <w:sz w:val="44"/>
          <w:szCs w:val="44"/>
        </w:rPr>
        <w:t>情况和2019年财政预算草案的报告</w:t>
      </w:r>
    </w:p>
    <w:p>
      <w:pPr>
        <w:keepNext w:val="0"/>
        <w:keepLines w:val="0"/>
        <w:pageBreakBefore w:val="0"/>
        <w:widowControl w:val="0"/>
        <w:kinsoku/>
        <w:wordWrap/>
        <w:overflowPunct/>
        <w:topLinePunct w:val="0"/>
        <w:autoSpaceDE/>
        <w:autoSpaceDN/>
        <w:bidi w:val="0"/>
        <w:adjustRightInd/>
        <w:snapToGrid/>
        <w:spacing w:before="159" w:beforeLines="50" w:line="600" w:lineRule="exact"/>
        <w:ind w:right="0" w:firstLine="0" w:firstLineChars="0"/>
        <w:jc w:val="both"/>
        <w:textAlignment w:val="auto"/>
        <w:outlineLvl w:val="9"/>
        <w:rPr>
          <w:rFonts w:hint="default" w:ascii="Times New Roman" w:hAnsi="Times New Roman" w:eastAsia="宋体" w:cs="Times New Roman"/>
          <w:spacing w:val="-6"/>
          <w:sz w:val="28"/>
          <w:szCs w:val="28"/>
        </w:rPr>
      </w:pPr>
      <w:r>
        <w:rPr>
          <w:rFonts w:hint="default" w:ascii="Times New Roman" w:hAnsi="Times New Roman" w:eastAsia="宋体" w:cs="Times New Roman"/>
          <w:spacing w:val="0"/>
          <w:sz w:val="28"/>
          <w:szCs w:val="28"/>
        </w:rPr>
        <w:t>——</w:t>
      </w:r>
      <w:r>
        <w:rPr>
          <w:rFonts w:hint="default" w:ascii="Times New Roman" w:hAnsi="Times New Roman" w:eastAsia="宋体" w:cs="Times New Roman"/>
          <w:spacing w:val="-6"/>
          <w:sz w:val="28"/>
          <w:szCs w:val="28"/>
        </w:rPr>
        <w:t>2019年1月</w:t>
      </w:r>
      <w:r>
        <w:rPr>
          <w:rFonts w:hint="default" w:ascii="Times New Roman" w:hAnsi="Times New Roman" w:eastAsia="宋体" w:cs="Times New Roman"/>
          <w:spacing w:val="-6"/>
          <w:sz w:val="28"/>
          <w:szCs w:val="28"/>
          <w:lang w:val="en-US" w:eastAsia="zh-CN"/>
        </w:rPr>
        <w:t>20</w:t>
      </w:r>
      <w:r>
        <w:rPr>
          <w:rFonts w:hint="default" w:ascii="Times New Roman" w:hAnsi="Times New Roman" w:eastAsia="宋体" w:cs="Times New Roman"/>
          <w:spacing w:val="-6"/>
          <w:sz w:val="28"/>
          <w:szCs w:val="28"/>
        </w:rPr>
        <w:t>日在中卫市沙坡头区第一届人民代表大会第</w:t>
      </w:r>
      <w:r>
        <w:rPr>
          <w:rFonts w:hint="default" w:ascii="Times New Roman" w:hAnsi="Times New Roman" w:eastAsia="宋体" w:cs="Times New Roman"/>
          <w:spacing w:val="-6"/>
          <w:sz w:val="28"/>
          <w:szCs w:val="28"/>
          <w:highlight w:val="none"/>
        </w:rPr>
        <w:t>五次</w:t>
      </w:r>
      <w:r>
        <w:rPr>
          <w:rFonts w:hint="default" w:ascii="Times New Roman" w:hAnsi="Times New Roman" w:eastAsia="宋体" w:cs="Times New Roman"/>
          <w:spacing w:val="-6"/>
          <w:sz w:val="28"/>
          <w:szCs w:val="28"/>
        </w:rPr>
        <w:t>会议上</w:t>
      </w:r>
    </w:p>
    <w:p>
      <w:pPr>
        <w:keepNext w:val="0"/>
        <w:keepLines w:val="0"/>
        <w:pageBreakBefore w:val="0"/>
        <w:widowControl w:val="0"/>
        <w:kinsoku/>
        <w:wordWrap/>
        <w:overflowPunct/>
        <w:topLinePunct w:val="0"/>
        <w:autoSpaceDE/>
        <w:autoSpaceDN/>
        <w:bidi w:val="0"/>
        <w:adjustRightInd/>
        <w:snapToGrid/>
        <w:spacing w:before="159" w:beforeLines="50" w:line="600" w:lineRule="exact"/>
        <w:ind w:right="0" w:firstLine="0" w:firstLineChars="0"/>
        <w:jc w:val="center"/>
        <w:textAlignment w:val="auto"/>
        <w:outlineLvl w:val="9"/>
        <w:rPr>
          <w:rFonts w:eastAsia="楷体_GB2312"/>
          <w:b/>
          <w:sz w:val="30"/>
          <w:szCs w:val="30"/>
        </w:rPr>
      </w:pPr>
      <w:r>
        <w:rPr>
          <w:rFonts w:eastAsia="楷体_GB2312"/>
          <w:b/>
          <w:sz w:val="30"/>
          <w:szCs w:val="30"/>
        </w:rPr>
        <w:t>中卫市沙坡头区财政局</w:t>
      </w:r>
    </w:p>
    <w:p>
      <w:pPr>
        <w:keepNext w:val="0"/>
        <w:keepLines w:val="0"/>
        <w:pageBreakBefore w:val="0"/>
        <w:kinsoku/>
        <w:wordWrap/>
        <w:overflowPunct/>
        <w:topLinePunct w:val="0"/>
        <w:autoSpaceDE/>
        <w:autoSpaceDN/>
        <w:bidi w:val="0"/>
        <w:adjustRightInd/>
        <w:spacing w:line="560" w:lineRule="exact"/>
        <w:ind w:right="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6" w:lineRule="exact"/>
        <w:ind w:right="0"/>
        <w:textAlignment w:val="auto"/>
        <w:outlineLvl w:val="9"/>
        <w:rPr>
          <w:rFonts w:eastAsia="仿宋_GB2312"/>
          <w:sz w:val="32"/>
          <w:szCs w:val="32"/>
        </w:rPr>
      </w:pPr>
      <w:r>
        <w:rPr>
          <w:rFonts w:eastAsia="仿宋_GB2312"/>
          <w:sz w:val="32"/>
          <w:szCs w:val="32"/>
        </w:rPr>
        <w:t>各位代表：</w:t>
      </w:r>
    </w:p>
    <w:p>
      <w:pPr>
        <w:keepNext w:val="0"/>
        <w:keepLines w:val="0"/>
        <w:pageBreakBefore w:val="0"/>
        <w:widowControl w:val="0"/>
        <w:kinsoku/>
        <w:wordWrap/>
        <w:overflowPunct/>
        <w:topLinePunct w:val="0"/>
        <w:autoSpaceDE/>
        <w:autoSpaceDN/>
        <w:bidi w:val="0"/>
        <w:adjustRightInd/>
        <w:snapToGrid/>
        <w:spacing w:line="586" w:lineRule="exact"/>
        <w:ind w:right="0" w:firstLine="640" w:firstLineChars="200"/>
        <w:textAlignment w:val="auto"/>
        <w:outlineLvl w:val="9"/>
        <w:rPr>
          <w:rFonts w:eastAsia="仿宋_GB2312"/>
          <w:sz w:val="32"/>
          <w:szCs w:val="32"/>
        </w:rPr>
      </w:pPr>
      <w:r>
        <w:rPr>
          <w:rFonts w:eastAsia="仿宋_GB2312"/>
          <w:sz w:val="32"/>
          <w:szCs w:val="32"/>
        </w:rPr>
        <w:t>受区人民政府委托，现将沙坡头区2018年财政预算执行情况及2019年财政预算（草案）报告提请区一届人大</w:t>
      </w:r>
      <w:r>
        <w:rPr>
          <w:rFonts w:eastAsia="仿宋_GB2312"/>
          <w:sz w:val="32"/>
          <w:szCs w:val="32"/>
          <w:highlight w:val="none"/>
        </w:rPr>
        <w:t>五次</w:t>
      </w:r>
      <w:r>
        <w:rPr>
          <w:rFonts w:eastAsia="仿宋_GB2312"/>
          <w:sz w:val="32"/>
          <w:szCs w:val="32"/>
        </w:rPr>
        <w:t>会议审议，并请各位政协委员和其他列席人员提出意见。</w:t>
      </w:r>
    </w:p>
    <w:p>
      <w:pPr>
        <w:keepNext w:val="0"/>
        <w:keepLines w:val="0"/>
        <w:pageBreakBefore w:val="0"/>
        <w:widowControl w:val="0"/>
        <w:kinsoku/>
        <w:wordWrap/>
        <w:overflowPunct/>
        <w:topLinePunct w:val="0"/>
        <w:autoSpaceDE/>
        <w:autoSpaceDN/>
        <w:bidi w:val="0"/>
        <w:adjustRightInd/>
        <w:snapToGrid/>
        <w:spacing w:line="586" w:lineRule="exact"/>
        <w:ind w:right="0" w:firstLine="640" w:firstLineChars="200"/>
        <w:textAlignment w:val="auto"/>
        <w:outlineLvl w:val="9"/>
        <w:rPr>
          <w:rFonts w:eastAsia="黑体"/>
          <w:sz w:val="32"/>
          <w:szCs w:val="32"/>
        </w:rPr>
      </w:pPr>
      <w:r>
        <w:rPr>
          <w:rFonts w:eastAsia="黑体"/>
          <w:sz w:val="32"/>
          <w:szCs w:val="32"/>
        </w:rPr>
        <w:t>一、2018年预算执行情况</w:t>
      </w:r>
    </w:p>
    <w:p>
      <w:pPr>
        <w:keepNext w:val="0"/>
        <w:keepLines w:val="0"/>
        <w:pageBreakBefore w:val="0"/>
        <w:widowControl w:val="0"/>
        <w:kinsoku/>
        <w:wordWrap/>
        <w:overflowPunct/>
        <w:topLinePunct w:val="0"/>
        <w:autoSpaceDE/>
        <w:autoSpaceDN/>
        <w:bidi w:val="0"/>
        <w:adjustRightInd/>
        <w:snapToGrid/>
        <w:spacing w:line="586" w:lineRule="exact"/>
        <w:ind w:right="0" w:firstLine="640" w:firstLineChars="200"/>
        <w:textAlignment w:val="auto"/>
        <w:outlineLvl w:val="9"/>
        <w:rPr>
          <w:rFonts w:eastAsia="仿宋_GB2312"/>
          <w:sz w:val="32"/>
          <w:szCs w:val="32"/>
        </w:rPr>
      </w:pPr>
      <w:r>
        <w:rPr>
          <w:rFonts w:hint="default" w:ascii="Times New Roman" w:hAnsi="Times New Roman" w:eastAsia="仿宋_GB2312" w:cs="Times New Roman"/>
          <w:sz w:val="32"/>
          <w:szCs w:val="32"/>
          <w:highlight w:val="none"/>
        </w:rPr>
        <w:t>2018年是贯彻落实党的十九大精神</w:t>
      </w:r>
      <w:r>
        <w:rPr>
          <w:rFonts w:hint="default"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rPr>
        <w:t>开局之年，</w:t>
      </w:r>
      <w:r>
        <w:rPr>
          <w:rFonts w:hint="eastAsia" w:ascii="Times New Roman" w:hAnsi="Times New Roman" w:eastAsia="仿宋_GB2312" w:cs="Times New Roman"/>
          <w:sz w:val="32"/>
          <w:szCs w:val="32"/>
          <w:highlight w:val="none"/>
          <w:lang w:eastAsia="zh-CN"/>
        </w:rPr>
        <w:t>是实施“十三五”规划承上启下的关键一年。</w:t>
      </w:r>
      <w:r>
        <w:rPr>
          <w:rFonts w:eastAsia="仿宋_GB2312"/>
          <w:sz w:val="32"/>
          <w:szCs w:val="32"/>
        </w:rPr>
        <w:t>财政工作在区委、政府的坚强领导下，</w:t>
      </w:r>
      <w:r>
        <w:rPr>
          <w:rFonts w:hint="default" w:ascii="Times New Roman" w:hAnsi="Times New Roman" w:eastAsia="仿宋_GB2312" w:cs="Times New Roman"/>
          <w:sz w:val="32"/>
          <w:szCs w:val="32"/>
          <w:highlight w:val="none"/>
        </w:rPr>
        <w:t>牢牢把握“转型追赶、高质量发展”这条主线，深入推进财政改革，落实稳增长、调结构、惠民生</w:t>
      </w:r>
      <w:r>
        <w:rPr>
          <w:rFonts w:hint="eastAsia" w:ascii="Times New Roman" w:hAnsi="Times New Roman" w:eastAsia="仿宋_GB2312" w:cs="Times New Roman"/>
          <w:sz w:val="32"/>
          <w:szCs w:val="32"/>
          <w:highlight w:val="none"/>
          <w:lang w:eastAsia="zh-CN"/>
        </w:rPr>
        <w:t>、防风险</w:t>
      </w:r>
      <w:r>
        <w:rPr>
          <w:rFonts w:eastAsia="仿宋_GB2312"/>
          <w:sz w:val="32"/>
          <w:szCs w:val="32"/>
        </w:rPr>
        <w:t>，财政预算执行情况总体平稳</w:t>
      </w:r>
      <w:r>
        <w:rPr>
          <w:rFonts w:hint="eastAsia" w:eastAsia="仿宋_GB2312"/>
          <w:sz w:val="32"/>
          <w:szCs w:val="32"/>
        </w:rPr>
        <w:t>，</w:t>
      </w:r>
      <w:r>
        <w:rPr>
          <w:rFonts w:eastAsia="仿宋_GB2312"/>
          <w:sz w:val="32"/>
          <w:szCs w:val="32"/>
        </w:rPr>
        <w:t>各项社会民生事业和重点支出得到有效保障。</w:t>
      </w:r>
    </w:p>
    <w:p>
      <w:pPr>
        <w:keepNext w:val="0"/>
        <w:keepLines w:val="0"/>
        <w:pageBreakBefore w:val="0"/>
        <w:widowControl w:val="0"/>
        <w:kinsoku/>
        <w:wordWrap/>
        <w:overflowPunct/>
        <w:topLinePunct w:val="0"/>
        <w:autoSpaceDE/>
        <w:autoSpaceDN/>
        <w:bidi w:val="0"/>
        <w:adjustRightInd/>
        <w:snapToGrid/>
        <w:spacing w:line="586" w:lineRule="exact"/>
        <w:ind w:right="0" w:firstLine="643" w:firstLineChars="200"/>
        <w:textAlignment w:val="auto"/>
        <w:outlineLvl w:val="9"/>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（一）2018年预算收支情况</w:t>
      </w:r>
    </w:p>
    <w:p>
      <w:pPr>
        <w:keepNext w:val="0"/>
        <w:keepLines w:val="0"/>
        <w:pageBreakBefore w:val="0"/>
        <w:widowControl w:val="0"/>
        <w:kinsoku/>
        <w:wordWrap/>
        <w:overflowPunct/>
        <w:topLinePunct w:val="0"/>
        <w:autoSpaceDE/>
        <w:autoSpaceDN/>
        <w:bidi w:val="0"/>
        <w:adjustRightInd/>
        <w:snapToGrid/>
        <w:spacing w:line="586" w:lineRule="exact"/>
        <w:ind w:right="0" w:firstLine="643" w:firstLineChars="200"/>
        <w:textAlignment w:val="auto"/>
        <w:outlineLvl w:val="9"/>
        <w:rPr>
          <w:rFonts w:eastAsia="仿宋_GB2312"/>
          <w:b/>
          <w:sz w:val="32"/>
          <w:szCs w:val="32"/>
        </w:rPr>
      </w:pPr>
      <w:r>
        <w:rPr>
          <w:rFonts w:eastAsia="仿宋_GB2312"/>
          <w:b/>
          <w:sz w:val="32"/>
          <w:szCs w:val="32"/>
        </w:rPr>
        <w:t xml:space="preserve">1.一般公共预算收支情况 </w:t>
      </w:r>
    </w:p>
    <w:p>
      <w:pPr>
        <w:keepNext w:val="0"/>
        <w:keepLines w:val="0"/>
        <w:pageBreakBefore w:val="0"/>
        <w:widowControl w:val="0"/>
        <w:kinsoku/>
        <w:wordWrap/>
        <w:overflowPunct/>
        <w:topLinePunct w:val="0"/>
        <w:autoSpaceDE/>
        <w:autoSpaceDN/>
        <w:bidi w:val="0"/>
        <w:adjustRightInd/>
        <w:snapToGrid/>
        <w:spacing w:line="608" w:lineRule="exact"/>
        <w:ind w:right="0" w:firstLine="640" w:firstLineChars="200"/>
        <w:textAlignment w:val="auto"/>
        <w:outlineLvl w:val="9"/>
        <w:rPr>
          <w:rFonts w:eastAsia="仿宋_GB2312"/>
          <w:sz w:val="32"/>
          <w:szCs w:val="32"/>
        </w:rPr>
      </w:pPr>
      <w:r>
        <w:rPr>
          <w:rFonts w:eastAsia="仿宋_GB2312"/>
          <w:sz w:val="32"/>
          <w:szCs w:val="32"/>
        </w:rPr>
        <w:t>2018年</w:t>
      </w:r>
      <w:r>
        <w:rPr>
          <w:rFonts w:hint="eastAsia" w:eastAsia="仿宋_GB2312"/>
          <w:sz w:val="32"/>
          <w:szCs w:val="32"/>
          <w:lang w:eastAsia="zh-CN"/>
        </w:rPr>
        <w:t>，</w:t>
      </w:r>
      <w:r>
        <w:rPr>
          <w:rFonts w:eastAsia="仿宋_GB2312"/>
          <w:sz w:val="32"/>
          <w:szCs w:val="32"/>
        </w:rPr>
        <w:t>沙坡头区</w:t>
      </w:r>
      <w:r>
        <w:rPr>
          <w:rFonts w:hint="eastAsia" w:eastAsia="仿宋_GB2312"/>
          <w:sz w:val="32"/>
          <w:szCs w:val="32"/>
          <w:lang w:eastAsia="zh-CN"/>
        </w:rPr>
        <w:t>财政</w:t>
      </w:r>
      <w:r>
        <w:rPr>
          <w:rFonts w:eastAsia="仿宋_GB2312"/>
          <w:sz w:val="32"/>
          <w:szCs w:val="32"/>
        </w:rPr>
        <w:t>一般公共预算收入完成</w:t>
      </w:r>
      <w:r>
        <w:rPr>
          <w:rFonts w:hint="eastAsia" w:eastAsia="仿宋_GB2312"/>
          <w:sz w:val="32"/>
          <w:szCs w:val="32"/>
          <w:lang w:val="en-US" w:eastAsia="zh-CN"/>
        </w:rPr>
        <w:t>27154</w:t>
      </w:r>
      <w:r>
        <w:rPr>
          <w:rFonts w:eastAsia="仿宋_GB2312"/>
          <w:sz w:val="32"/>
          <w:szCs w:val="32"/>
        </w:rPr>
        <w:t>万元，为年度预算的84.</w:t>
      </w:r>
      <w:r>
        <w:rPr>
          <w:rFonts w:hint="eastAsia" w:eastAsia="仿宋_GB2312"/>
          <w:sz w:val="32"/>
          <w:szCs w:val="32"/>
          <w:lang w:val="en-US" w:eastAsia="zh-CN"/>
        </w:rPr>
        <w:t>5</w:t>
      </w:r>
      <w:r>
        <w:rPr>
          <w:rFonts w:eastAsia="仿宋_GB2312"/>
          <w:sz w:val="32"/>
          <w:szCs w:val="32"/>
        </w:rPr>
        <w:t>%</w:t>
      </w:r>
      <w:r>
        <w:rPr>
          <w:rFonts w:hint="eastAsia" w:eastAsia="仿宋_GB2312"/>
          <w:sz w:val="32"/>
          <w:szCs w:val="32"/>
          <w:lang w:eastAsia="zh-CN"/>
        </w:rPr>
        <w:t>，同口径增长</w:t>
      </w:r>
      <w:r>
        <w:rPr>
          <w:rFonts w:hint="eastAsia" w:eastAsia="仿宋_GB2312"/>
          <w:sz w:val="32"/>
          <w:szCs w:val="32"/>
          <w:lang w:val="en-US" w:eastAsia="zh-CN"/>
        </w:rPr>
        <w:t>10.13%</w:t>
      </w:r>
      <w:r>
        <w:rPr>
          <w:rFonts w:eastAsia="仿宋_GB2312"/>
          <w:sz w:val="32"/>
          <w:szCs w:val="32"/>
        </w:rPr>
        <w:t>；一般公共预算支出完成</w:t>
      </w:r>
      <w:r>
        <w:rPr>
          <w:rFonts w:hint="eastAsia" w:eastAsia="仿宋_GB2312"/>
          <w:sz w:val="32"/>
          <w:szCs w:val="32"/>
          <w:lang w:val="en-US" w:eastAsia="zh-CN"/>
        </w:rPr>
        <w:t>124301</w:t>
      </w:r>
      <w:r>
        <w:rPr>
          <w:rFonts w:eastAsia="仿宋_GB2312"/>
          <w:sz w:val="32"/>
          <w:szCs w:val="32"/>
        </w:rPr>
        <w:t>万元，为变动预算的</w:t>
      </w:r>
      <w:r>
        <w:rPr>
          <w:rFonts w:hint="eastAsia" w:eastAsia="仿宋_GB2312"/>
          <w:sz w:val="32"/>
          <w:szCs w:val="32"/>
          <w:lang w:val="en-US" w:eastAsia="zh-CN"/>
        </w:rPr>
        <w:t>93.2</w:t>
      </w:r>
      <w:r>
        <w:rPr>
          <w:rFonts w:eastAsia="仿宋_GB2312"/>
          <w:sz w:val="32"/>
          <w:szCs w:val="32"/>
        </w:rPr>
        <w:t>%，增长</w:t>
      </w:r>
      <w:r>
        <w:rPr>
          <w:rFonts w:hint="eastAsia" w:eastAsia="仿宋_GB2312"/>
          <w:sz w:val="32"/>
          <w:szCs w:val="32"/>
          <w:lang w:val="en-US" w:eastAsia="zh-CN"/>
        </w:rPr>
        <w:t>6.64</w:t>
      </w:r>
      <w:r>
        <w:rPr>
          <w:rFonts w:eastAsia="仿宋_GB2312"/>
          <w:sz w:val="32"/>
          <w:szCs w:val="32"/>
        </w:rPr>
        <w:t>%。一般公共财政预算支出资金来源是：一般公共预算收入</w:t>
      </w:r>
      <w:r>
        <w:rPr>
          <w:rFonts w:hint="eastAsia" w:eastAsia="仿宋_GB2312"/>
          <w:sz w:val="32"/>
          <w:szCs w:val="32"/>
          <w:lang w:val="en-US" w:eastAsia="zh-CN"/>
        </w:rPr>
        <w:t>27154</w:t>
      </w:r>
      <w:r>
        <w:rPr>
          <w:rFonts w:eastAsia="仿宋_GB2312"/>
          <w:sz w:val="32"/>
          <w:szCs w:val="32"/>
        </w:rPr>
        <w:t>万元；市财政补助收入</w:t>
      </w:r>
      <w:r>
        <w:rPr>
          <w:rFonts w:hint="eastAsia" w:eastAsia="仿宋_GB2312"/>
          <w:sz w:val="32"/>
          <w:szCs w:val="32"/>
          <w:lang w:val="en-US" w:eastAsia="zh-CN"/>
        </w:rPr>
        <w:t>84662</w:t>
      </w:r>
      <w:r>
        <w:rPr>
          <w:rFonts w:eastAsia="仿宋_GB2312"/>
          <w:sz w:val="32"/>
          <w:szCs w:val="32"/>
        </w:rPr>
        <w:t>万元；一般债务转贷收入11190万元；上年结转资金10365万元。收支相抵，2018年</w:t>
      </w:r>
      <w:r>
        <w:rPr>
          <w:rFonts w:hint="eastAsia" w:eastAsia="仿宋_GB2312"/>
          <w:sz w:val="32"/>
          <w:szCs w:val="32"/>
        </w:rPr>
        <w:t>财政一般</w:t>
      </w:r>
      <w:r>
        <w:rPr>
          <w:rFonts w:eastAsia="仿宋_GB2312"/>
          <w:sz w:val="32"/>
          <w:szCs w:val="32"/>
        </w:rPr>
        <w:t>公共预算年终滚存结余</w:t>
      </w:r>
      <w:r>
        <w:rPr>
          <w:rFonts w:hint="eastAsia" w:eastAsia="仿宋_GB2312"/>
          <w:sz w:val="32"/>
          <w:szCs w:val="32"/>
          <w:lang w:val="en-US" w:eastAsia="zh-CN"/>
        </w:rPr>
        <w:t>9070</w:t>
      </w:r>
      <w:r>
        <w:rPr>
          <w:rFonts w:eastAsia="仿宋_GB2312"/>
          <w:sz w:val="32"/>
          <w:szCs w:val="32"/>
        </w:rPr>
        <w:t>万元，结转下年继续使用。</w:t>
      </w:r>
    </w:p>
    <w:p>
      <w:pPr>
        <w:keepNext w:val="0"/>
        <w:keepLines w:val="0"/>
        <w:pageBreakBefore w:val="0"/>
        <w:kinsoku/>
        <w:wordWrap/>
        <w:overflowPunct/>
        <w:topLinePunct w:val="0"/>
        <w:autoSpaceDE/>
        <w:autoSpaceDN/>
        <w:bidi w:val="0"/>
        <w:adjustRightInd/>
        <w:spacing w:line="608" w:lineRule="exact"/>
        <w:ind w:right="0" w:firstLine="643" w:firstLineChars="200"/>
        <w:textAlignment w:val="auto"/>
        <w:outlineLvl w:val="9"/>
        <w:rPr>
          <w:rFonts w:eastAsia="仿宋_GB2312"/>
          <w:b/>
          <w:sz w:val="32"/>
          <w:szCs w:val="32"/>
        </w:rPr>
      </w:pPr>
      <w:r>
        <w:rPr>
          <w:rFonts w:eastAsia="仿宋_GB2312"/>
          <w:b/>
          <w:sz w:val="32"/>
          <w:szCs w:val="32"/>
        </w:rPr>
        <w:t>2.政府性基金预算收支情况</w:t>
      </w:r>
    </w:p>
    <w:p>
      <w:pPr>
        <w:keepNext w:val="0"/>
        <w:keepLines w:val="0"/>
        <w:pageBreakBefore w:val="0"/>
        <w:kinsoku/>
        <w:wordWrap/>
        <w:overflowPunct/>
        <w:topLinePunct w:val="0"/>
        <w:autoSpaceDE/>
        <w:autoSpaceDN/>
        <w:bidi w:val="0"/>
        <w:adjustRightInd/>
        <w:spacing w:line="608" w:lineRule="exact"/>
        <w:ind w:right="0" w:firstLine="640" w:firstLineChars="200"/>
        <w:textAlignment w:val="auto"/>
        <w:outlineLvl w:val="9"/>
        <w:rPr>
          <w:rFonts w:eastAsia="仿宋_GB2312"/>
          <w:sz w:val="32"/>
          <w:szCs w:val="32"/>
        </w:rPr>
      </w:pPr>
      <w:r>
        <w:rPr>
          <w:rFonts w:eastAsia="仿宋_GB2312"/>
          <w:sz w:val="32"/>
          <w:szCs w:val="32"/>
        </w:rPr>
        <w:t>2018年，沙坡头区政府性基金预算支出完成</w:t>
      </w:r>
      <w:r>
        <w:rPr>
          <w:rFonts w:hint="eastAsia" w:eastAsia="仿宋_GB2312"/>
          <w:sz w:val="32"/>
          <w:szCs w:val="32"/>
          <w:lang w:val="en-US" w:eastAsia="zh-CN"/>
        </w:rPr>
        <w:t>3199</w:t>
      </w:r>
      <w:r>
        <w:rPr>
          <w:rFonts w:eastAsia="仿宋_GB2312"/>
          <w:sz w:val="32"/>
          <w:szCs w:val="32"/>
        </w:rPr>
        <w:t>万元，为变动预算的</w:t>
      </w:r>
      <w:r>
        <w:rPr>
          <w:rFonts w:hint="eastAsia" w:eastAsia="仿宋_GB2312"/>
          <w:sz w:val="32"/>
          <w:szCs w:val="32"/>
          <w:lang w:val="en-US" w:eastAsia="zh-CN"/>
        </w:rPr>
        <w:t>77.99</w:t>
      </w:r>
      <w:r>
        <w:rPr>
          <w:rFonts w:eastAsia="仿宋_GB2312"/>
          <w:sz w:val="32"/>
          <w:szCs w:val="32"/>
        </w:rPr>
        <w:t>%。政府性基金预算支出资金来源为市财政补助收入26</w:t>
      </w:r>
      <w:r>
        <w:rPr>
          <w:rFonts w:hint="eastAsia" w:eastAsia="仿宋_GB2312"/>
          <w:sz w:val="32"/>
          <w:szCs w:val="32"/>
          <w:lang w:val="en-US" w:eastAsia="zh-CN"/>
        </w:rPr>
        <w:t>97</w:t>
      </w:r>
      <w:r>
        <w:rPr>
          <w:rFonts w:eastAsia="仿宋_GB2312"/>
          <w:sz w:val="32"/>
          <w:szCs w:val="32"/>
        </w:rPr>
        <w:t>万元；专项债务转贷收入900万元；上年结转专项资金505万元。收支相抵，年终滚存结余</w:t>
      </w:r>
      <w:r>
        <w:rPr>
          <w:rFonts w:hint="eastAsia" w:eastAsia="仿宋_GB2312"/>
          <w:sz w:val="32"/>
          <w:szCs w:val="32"/>
          <w:lang w:val="en-US" w:eastAsia="zh-CN"/>
        </w:rPr>
        <w:t>903</w:t>
      </w:r>
      <w:r>
        <w:rPr>
          <w:rFonts w:eastAsia="仿宋_GB2312"/>
          <w:sz w:val="32"/>
          <w:szCs w:val="32"/>
        </w:rPr>
        <w:t>万元，结转下年继续使用。</w:t>
      </w:r>
    </w:p>
    <w:p>
      <w:pPr>
        <w:keepNext w:val="0"/>
        <w:keepLines w:val="0"/>
        <w:pageBreakBefore w:val="0"/>
        <w:kinsoku/>
        <w:wordWrap/>
        <w:overflowPunct/>
        <w:topLinePunct w:val="0"/>
        <w:autoSpaceDE/>
        <w:autoSpaceDN/>
        <w:bidi w:val="0"/>
        <w:adjustRightInd/>
        <w:spacing w:line="608" w:lineRule="exact"/>
        <w:ind w:right="0" w:firstLine="643" w:firstLineChars="200"/>
        <w:textAlignment w:val="auto"/>
        <w:outlineLvl w:val="9"/>
        <w:rPr>
          <w:rFonts w:eastAsia="仿宋_GB2312"/>
          <w:b/>
          <w:bCs/>
          <w:sz w:val="32"/>
          <w:szCs w:val="32"/>
        </w:rPr>
      </w:pPr>
      <w:r>
        <w:rPr>
          <w:rFonts w:hint="eastAsia" w:eastAsia="仿宋_GB2312"/>
          <w:b/>
          <w:bCs/>
          <w:sz w:val="32"/>
          <w:szCs w:val="32"/>
        </w:rPr>
        <w:t>3</w:t>
      </w:r>
      <w:r>
        <w:rPr>
          <w:rFonts w:eastAsia="仿宋_GB2312"/>
          <w:b/>
          <w:bCs/>
          <w:sz w:val="32"/>
          <w:szCs w:val="32"/>
        </w:rPr>
        <w:t>.政府债务余额情况</w:t>
      </w:r>
    </w:p>
    <w:p>
      <w:pPr>
        <w:keepNext w:val="0"/>
        <w:keepLines w:val="0"/>
        <w:pageBreakBefore w:val="0"/>
        <w:kinsoku/>
        <w:wordWrap/>
        <w:overflowPunct/>
        <w:topLinePunct w:val="0"/>
        <w:autoSpaceDE/>
        <w:autoSpaceDN/>
        <w:bidi w:val="0"/>
        <w:adjustRightInd/>
        <w:spacing w:line="608" w:lineRule="exact"/>
        <w:ind w:right="0" w:firstLine="640" w:firstLineChars="200"/>
        <w:textAlignment w:val="auto"/>
        <w:outlineLvl w:val="9"/>
        <w:rPr>
          <w:rFonts w:eastAsia="仿宋_GB2312"/>
          <w:sz w:val="32"/>
          <w:szCs w:val="32"/>
        </w:rPr>
      </w:pPr>
      <w:r>
        <w:rPr>
          <w:rFonts w:eastAsia="仿宋_GB2312"/>
          <w:sz w:val="32"/>
          <w:szCs w:val="32"/>
        </w:rPr>
        <w:t>2018年，自治区核定沙坡头区政府债务限额63950万元，其中：一般债务限额60625万元；专项债务限额3325万元。</w:t>
      </w:r>
    </w:p>
    <w:p>
      <w:pPr>
        <w:keepNext w:val="0"/>
        <w:keepLines w:val="0"/>
        <w:pageBreakBefore w:val="0"/>
        <w:kinsoku/>
        <w:wordWrap/>
        <w:overflowPunct/>
        <w:topLinePunct w:val="0"/>
        <w:autoSpaceDE/>
        <w:autoSpaceDN/>
        <w:bidi w:val="0"/>
        <w:adjustRightInd/>
        <w:spacing w:line="608" w:lineRule="exact"/>
        <w:ind w:right="0" w:firstLine="640" w:firstLineChars="200"/>
        <w:textAlignment w:val="auto"/>
        <w:outlineLvl w:val="9"/>
        <w:rPr>
          <w:rFonts w:eastAsia="仿宋_GB2312"/>
          <w:sz w:val="32"/>
          <w:szCs w:val="32"/>
        </w:rPr>
      </w:pPr>
      <w:r>
        <w:rPr>
          <w:rFonts w:eastAsia="仿宋_GB2312"/>
          <w:sz w:val="32"/>
          <w:szCs w:val="32"/>
        </w:rPr>
        <w:t>截至2018年</w:t>
      </w:r>
      <w:r>
        <w:rPr>
          <w:rFonts w:hint="eastAsia" w:eastAsia="仿宋_GB2312"/>
          <w:sz w:val="32"/>
          <w:szCs w:val="32"/>
          <w:lang w:eastAsia="zh-CN"/>
        </w:rPr>
        <w:t>底</w:t>
      </w:r>
      <w:r>
        <w:rPr>
          <w:rFonts w:eastAsia="仿宋_GB2312"/>
          <w:sz w:val="32"/>
          <w:szCs w:val="32"/>
        </w:rPr>
        <w:t>，沙坡头区政府债务余额46290万元，其中：一般债务余额42965万元，专项债务余额3325万元，未超出债务限额，债务规模总体可控。</w:t>
      </w:r>
    </w:p>
    <w:p>
      <w:pPr>
        <w:keepNext w:val="0"/>
        <w:keepLines w:val="0"/>
        <w:pageBreakBefore w:val="0"/>
        <w:kinsoku/>
        <w:wordWrap/>
        <w:overflowPunct/>
        <w:topLinePunct w:val="0"/>
        <w:autoSpaceDE/>
        <w:autoSpaceDN/>
        <w:bidi w:val="0"/>
        <w:adjustRightInd/>
        <w:spacing w:line="608" w:lineRule="exact"/>
        <w:ind w:right="0" w:firstLine="640" w:firstLineChars="200"/>
        <w:textAlignment w:val="auto"/>
        <w:outlineLvl w:val="9"/>
        <w:rPr>
          <w:rFonts w:eastAsia="仿宋_GB2312"/>
          <w:sz w:val="32"/>
          <w:szCs w:val="32"/>
        </w:rPr>
      </w:pPr>
      <w:r>
        <w:rPr>
          <w:rFonts w:eastAsia="仿宋_GB2312"/>
          <w:sz w:val="32"/>
          <w:szCs w:val="32"/>
        </w:rPr>
        <w:t>上述执行结果，在决算编制汇总后还会有所变化。将在2019年的人大常委会会议上报告2018年沙坡头区财政决算情况。</w:t>
      </w:r>
    </w:p>
    <w:p>
      <w:pPr>
        <w:keepNext w:val="0"/>
        <w:keepLines w:val="0"/>
        <w:pageBreakBefore w:val="0"/>
        <w:widowControl w:val="0"/>
        <w:kinsoku/>
        <w:wordWrap/>
        <w:overflowPunct/>
        <w:topLinePunct w:val="0"/>
        <w:autoSpaceDE/>
        <w:autoSpaceDN/>
        <w:bidi w:val="0"/>
        <w:adjustRightInd/>
        <w:snapToGrid/>
        <w:spacing w:line="586" w:lineRule="exact"/>
        <w:ind w:right="0" w:firstLine="643" w:firstLineChars="200"/>
        <w:textAlignment w:val="auto"/>
        <w:outlineLvl w:val="9"/>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（二）落实区人大预算决议工作情况</w:t>
      </w:r>
    </w:p>
    <w:p>
      <w:pPr>
        <w:pStyle w:val="6"/>
        <w:keepNext w:val="0"/>
        <w:keepLines w:val="0"/>
        <w:pageBreakBefore w:val="0"/>
        <w:kinsoku/>
        <w:wordWrap/>
        <w:overflowPunct/>
        <w:topLinePunct w:val="0"/>
        <w:autoSpaceDE/>
        <w:autoSpaceDN/>
        <w:bidi w:val="0"/>
        <w:adjustRightInd/>
        <w:spacing w:before="0" w:beforeAutospacing="0" w:after="0" w:afterAutospacing="0" w:line="608" w:lineRule="exact"/>
        <w:ind w:right="0" w:firstLine="640" w:firstLineChars="200"/>
        <w:textAlignment w:val="auto"/>
        <w:outlineLvl w:val="9"/>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2018年，按照沙坡头区一届人大</w:t>
      </w:r>
      <w:r>
        <w:rPr>
          <w:rFonts w:hint="eastAsia" w:ascii="Times New Roman" w:hAnsi="Times New Roman" w:eastAsia="仿宋_GB2312" w:cs="Times New Roman"/>
          <w:kern w:val="2"/>
          <w:sz w:val="32"/>
          <w:szCs w:val="32"/>
        </w:rPr>
        <w:t>四</w:t>
      </w:r>
      <w:r>
        <w:rPr>
          <w:rFonts w:ascii="Times New Roman" w:hAnsi="Times New Roman" w:eastAsia="仿宋_GB2312" w:cs="Times New Roman"/>
          <w:kern w:val="2"/>
          <w:sz w:val="32"/>
          <w:szCs w:val="32"/>
        </w:rPr>
        <w:t>次会议决议，以及区人大常委会的决定、意见，主要从以下几个方面做好财政工作：</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8" w:lineRule="exact"/>
        <w:ind w:right="0" w:firstLine="643"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1.积极拓宽增收渠道，不断提高财政保障能力。一是</w:t>
      </w:r>
      <w:r>
        <w:rPr>
          <w:rFonts w:ascii="Times New Roman" w:hAnsi="Times New Roman" w:eastAsia="仿宋_GB2312" w:cs="Times New Roman"/>
          <w:sz w:val="32"/>
          <w:szCs w:val="32"/>
        </w:rPr>
        <w:t>积极协调配合市财政、税务部门，</w:t>
      </w:r>
      <w:r>
        <w:rPr>
          <w:rFonts w:hint="eastAsia" w:ascii="Times New Roman" w:hAnsi="Times New Roman" w:eastAsia="仿宋_GB2312" w:cs="Times New Roman"/>
          <w:sz w:val="32"/>
          <w:szCs w:val="32"/>
        </w:rPr>
        <w:t>强化税收征管，健全综合治税长效机制</w:t>
      </w:r>
      <w:r>
        <w:rPr>
          <w:rFonts w:hint="eastAsia" w:ascii="Times New Roman" w:hAnsi="Times New Roman" w:eastAsia="仿宋_GB2312" w:cs="Times New Roman"/>
          <w:sz w:val="32"/>
          <w:szCs w:val="32"/>
          <w:lang w:eastAsia="zh-CN"/>
        </w:rPr>
        <w:t>，全力抓好税收收入</w:t>
      </w:r>
      <w:r>
        <w:rPr>
          <w:rFonts w:ascii="Times New Roman" w:hAnsi="Times New Roman" w:eastAsia="仿宋_GB2312" w:cs="Times New Roman"/>
          <w:sz w:val="32"/>
          <w:szCs w:val="32"/>
        </w:rPr>
        <w:t>；严格执行</w:t>
      </w:r>
      <w:r>
        <w:rPr>
          <w:rFonts w:hint="eastAsia" w:ascii="Times New Roman" w:hAnsi="Times New Roman" w:eastAsia="仿宋_GB2312" w:cs="Times New Roman"/>
          <w:sz w:val="32"/>
          <w:szCs w:val="32"/>
        </w:rPr>
        <w:t>非税收入</w:t>
      </w:r>
      <w:r>
        <w:rPr>
          <w:rFonts w:ascii="Times New Roman" w:hAnsi="Times New Roman" w:eastAsia="仿宋_GB2312" w:cs="Times New Roman"/>
          <w:sz w:val="32"/>
          <w:szCs w:val="32"/>
        </w:rPr>
        <w:t>“收支两条线”管理，确保应收尽收。</w:t>
      </w:r>
      <w:r>
        <w:rPr>
          <w:rFonts w:ascii="Times New Roman" w:hAnsi="Times New Roman" w:eastAsia="仿宋_GB2312" w:cs="Times New Roman"/>
          <w:b/>
          <w:bCs/>
          <w:sz w:val="32"/>
          <w:szCs w:val="32"/>
        </w:rPr>
        <w:t>二是</w:t>
      </w:r>
      <w:r>
        <w:rPr>
          <w:rFonts w:hint="eastAsia" w:ascii="仿宋_GB2312" w:hAnsi="仿宋" w:eastAsia="仿宋_GB2312" w:cs="仿宋"/>
          <w:sz w:val="32"/>
          <w:szCs w:val="32"/>
        </w:rPr>
        <w:t>认</w:t>
      </w:r>
      <w:r>
        <w:rPr>
          <w:rFonts w:hint="eastAsia" w:ascii="仿宋_GB2312" w:hAnsi="仿宋" w:eastAsia="仿宋_GB2312" w:cs="仿宋"/>
          <w:bCs/>
          <w:sz w:val="32"/>
          <w:szCs w:val="32"/>
        </w:rPr>
        <w:t>真研究国家宏观调控政策和产业投资导向，主动捕捉信息，引导</w:t>
      </w:r>
      <w:r>
        <w:rPr>
          <w:rFonts w:hint="eastAsia" w:ascii="仿宋_GB2312" w:hAnsi="仿宋" w:eastAsia="仿宋_GB2312" w:cs="仿宋"/>
          <w:bCs/>
          <w:sz w:val="32"/>
          <w:szCs w:val="32"/>
          <w:lang w:eastAsia="zh-CN"/>
        </w:rPr>
        <w:t>部门</w:t>
      </w:r>
      <w:r>
        <w:rPr>
          <w:rFonts w:hint="eastAsia" w:ascii="仿宋_GB2312" w:hAnsi="仿宋" w:eastAsia="仿宋_GB2312" w:cs="仿宋"/>
          <w:bCs/>
          <w:sz w:val="32"/>
          <w:szCs w:val="32"/>
        </w:rPr>
        <w:t>着力争取</w:t>
      </w:r>
      <w:r>
        <w:rPr>
          <w:rFonts w:ascii="Times New Roman" w:hAnsi="Times New Roman" w:eastAsia="仿宋_GB2312" w:cs="Times New Roman"/>
          <w:sz w:val="32"/>
          <w:szCs w:val="32"/>
        </w:rPr>
        <w:t>项目资金。2018年，沙坡头区各部门争取</w:t>
      </w:r>
      <w:r>
        <w:rPr>
          <w:rFonts w:hint="eastAsia" w:ascii="Times New Roman" w:hAnsi="Times New Roman" w:eastAsia="仿宋_GB2312" w:cs="Times New Roman"/>
          <w:sz w:val="32"/>
          <w:szCs w:val="32"/>
          <w:lang w:eastAsia="zh-CN"/>
        </w:rPr>
        <w:t>到位</w:t>
      </w:r>
      <w:r>
        <w:rPr>
          <w:rFonts w:ascii="Times New Roman" w:hAnsi="Times New Roman" w:eastAsia="仿宋_GB2312" w:cs="Times New Roman"/>
          <w:sz w:val="32"/>
          <w:szCs w:val="32"/>
        </w:rPr>
        <w:t>项目资金9.</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5亿元。</w:t>
      </w:r>
      <w:r>
        <w:rPr>
          <w:rFonts w:ascii="Times New Roman" w:hAnsi="Times New Roman" w:eastAsia="仿宋_GB2312" w:cs="Times New Roman"/>
          <w:b/>
          <w:bCs/>
          <w:sz w:val="32"/>
          <w:szCs w:val="32"/>
        </w:rPr>
        <w:t>三是</w:t>
      </w:r>
      <w:r>
        <w:rPr>
          <w:rFonts w:ascii="Times New Roman" w:hAnsi="Times New Roman" w:eastAsia="仿宋_GB2312" w:cs="Times New Roman"/>
          <w:sz w:val="32"/>
          <w:szCs w:val="32"/>
        </w:rPr>
        <w:t>抓好村级公益事业建设“一事一议”财政奖补项目、扶持壮大村集体经济发展试点项目资金申报，共争取到位资金</w:t>
      </w:r>
      <w:r>
        <w:rPr>
          <w:rFonts w:hint="eastAsia" w:ascii="Times New Roman" w:hAnsi="Times New Roman" w:eastAsia="仿宋_GB2312" w:cs="Times New Roman"/>
          <w:sz w:val="32"/>
          <w:szCs w:val="32"/>
          <w:lang w:val="en-US" w:eastAsia="zh-CN"/>
        </w:rPr>
        <w:t>6397</w:t>
      </w:r>
      <w:r>
        <w:rPr>
          <w:rFonts w:ascii="Times New Roman" w:hAnsi="Times New Roman" w:eastAsia="仿宋_GB2312" w:cs="Times New Roman"/>
          <w:sz w:val="32"/>
          <w:szCs w:val="32"/>
        </w:rPr>
        <w:t>万元；积极申报2018年新增地方政府债券项目，落实到位新增债券资金1.21亿元，全力支持沙坡头区重点建设项目。</w:t>
      </w:r>
    </w:p>
    <w:p>
      <w:pPr>
        <w:keepNext w:val="0"/>
        <w:keepLines w:val="0"/>
        <w:pageBreakBefore w:val="0"/>
        <w:numPr>
          <w:ilvl w:val="0"/>
          <w:numId w:val="0"/>
        </w:numPr>
        <w:kinsoku/>
        <w:wordWrap/>
        <w:overflowPunct/>
        <w:topLinePunct w:val="0"/>
        <w:autoSpaceDE/>
        <w:autoSpaceDN/>
        <w:bidi w:val="0"/>
        <w:adjustRightInd/>
        <w:spacing w:line="608" w:lineRule="exact"/>
        <w:ind w:firstLine="643" w:firstLineChars="200"/>
        <w:textAlignment w:val="auto"/>
        <w:outlineLvl w:val="9"/>
      </w:pPr>
      <w:r>
        <w:rPr>
          <w:rFonts w:eastAsia="仿宋_GB2312"/>
          <w:b/>
          <w:bCs/>
          <w:sz w:val="32"/>
          <w:szCs w:val="32"/>
        </w:rPr>
        <w:t>2.</w:t>
      </w:r>
      <w:r>
        <w:rPr>
          <w:rFonts w:eastAsia="仿宋_GB2312"/>
          <w:b/>
          <w:kern w:val="0"/>
          <w:sz w:val="32"/>
          <w:szCs w:val="32"/>
          <w:shd w:val="clear" w:color="auto" w:fill="FFFFFF"/>
          <w:lang w:bidi="ar"/>
        </w:rPr>
        <w:t>调整优化支出结构，</w:t>
      </w:r>
      <w:r>
        <w:rPr>
          <w:rFonts w:eastAsia="仿宋_GB2312"/>
          <w:b/>
          <w:bCs/>
          <w:sz w:val="32"/>
          <w:szCs w:val="32"/>
        </w:rPr>
        <w:t>推进落实三大战略。</w:t>
      </w:r>
      <w:r>
        <w:rPr>
          <w:rFonts w:eastAsia="仿宋_GB2312"/>
          <w:sz w:val="32"/>
          <w:szCs w:val="32"/>
        </w:rPr>
        <w:t>拨付扶贫资金</w:t>
      </w:r>
      <w:r>
        <w:rPr>
          <w:rFonts w:hint="eastAsia" w:eastAsia="仿宋_GB2312"/>
          <w:sz w:val="32"/>
          <w:szCs w:val="32"/>
          <w:lang w:val="en-US" w:eastAsia="zh-CN"/>
        </w:rPr>
        <w:t>16997</w:t>
      </w:r>
      <w:r>
        <w:rPr>
          <w:rFonts w:eastAsia="仿宋_GB2312"/>
          <w:sz w:val="32"/>
          <w:szCs w:val="32"/>
        </w:rPr>
        <w:t>万元用于生态移民基础设施建设、扶贫产业发展、“多代多人”建房补助、脱贫技能培训等；筹措</w:t>
      </w:r>
      <w:r>
        <w:rPr>
          <w:rFonts w:eastAsia="仿宋_GB2312"/>
          <w:kern w:val="0"/>
          <w:sz w:val="32"/>
          <w:szCs w:val="32"/>
        </w:rPr>
        <w:t>扶贫产业担保贷款风险补偿基金和担保基金3700万元、</w:t>
      </w:r>
      <w:r>
        <w:rPr>
          <w:rFonts w:eastAsia="仿宋_GB2312"/>
          <w:sz w:val="32"/>
          <w:szCs w:val="32"/>
        </w:rPr>
        <w:t>农村产权抵押贷款风险补偿基金500万元，撬动银行发放扶贫</w:t>
      </w:r>
      <w:r>
        <w:rPr>
          <w:rFonts w:hint="eastAsia" w:eastAsia="仿宋_GB2312"/>
          <w:sz w:val="32"/>
          <w:szCs w:val="32"/>
          <w:lang w:eastAsia="zh-CN"/>
        </w:rPr>
        <w:t>小额</w:t>
      </w:r>
      <w:r>
        <w:rPr>
          <w:rFonts w:eastAsia="仿宋_GB2312"/>
          <w:sz w:val="32"/>
          <w:szCs w:val="32"/>
        </w:rPr>
        <w:t>贷款</w:t>
      </w:r>
      <w:r>
        <w:rPr>
          <w:rFonts w:hint="eastAsia" w:eastAsia="仿宋_GB2312"/>
          <w:sz w:val="32"/>
          <w:szCs w:val="32"/>
          <w:lang w:eastAsia="zh-CN"/>
        </w:rPr>
        <w:t>累计</w:t>
      </w:r>
      <w:r>
        <w:rPr>
          <w:rFonts w:hint="eastAsia" w:eastAsia="仿宋_GB2312"/>
          <w:sz w:val="32"/>
          <w:szCs w:val="32"/>
          <w:lang w:val="en-US" w:eastAsia="zh-CN"/>
        </w:rPr>
        <w:t>5.17</w:t>
      </w:r>
      <w:r>
        <w:rPr>
          <w:rFonts w:eastAsia="仿宋_GB2312"/>
          <w:sz w:val="32"/>
          <w:szCs w:val="32"/>
        </w:rPr>
        <w:t>亿元，突破农村“融资难”的瓶颈。投入资金2070万元，用于大气污染防治、水生态治理与保护、河（沟）道巡查保洁等，着力改善生态环境。安排资金</w:t>
      </w:r>
      <w:r>
        <w:rPr>
          <w:rFonts w:hint="eastAsia" w:eastAsia="仿宋_GB2312"/>
          <w:sz w:val="32"/>
          <w:szCs w:val="32"/>
          <w:lang w:val="en-US" w:eastAsia="zh-CN"/>
        </w:rPr>
        <w:t>3153</w:t>
      </w:r>
      <w:r>
        <w:rPr>
          <w:rFonts w:eastAsia="仿宋_GB2312"/>
          <w:sz w:val="32"/>
          <w:szCs w:val="32"/>
        </w:rPr>
        <w:t>万元用于美丽村庄建设</w:t>
      </w:r>
      <w:r>
        <w:rPr>
          <w:rFonts w:hint="eastAsia" w:eastAsia="仿宋_GB2312"/>
          <w:sz w:val="32"/>
          <w:szCs w:val="32"/>
          <w:lang w:eastAsia="zh-CN"/>
        </w:rPr>
        <w:t>、</w:t>
      </w:r>
      <w:r>
        <w:rPr>
          <w:rFonts w:eastAsia="仿宋_GB2312"/>
          <w:sz w:val="32"/>
          <w:szCs w:val="32"/>
        </w:rPr>
        <w:t>村容村貌提升改造、传统村落保护、农村环境卫生整治</w:t>
      </w:r>
      <w:r>
        <w:rPr>
          <w:rFonts w:hint="eastAsia" w:eastAsia="仿宋_GB2312"/>
          <w:sz w:val="32"/>
          <w:szCs w:val="32"/>
          <w:lang w:eastAsia="zh-CN"/>
        </w:rPr>
        <w:t>、环卫设施采购、</w:t>
      </w:r>
      <w:r>
        <w:rPr>
          <w:rFonts w:eastAsia="仿宋_GB2312"/>
          <w:sz w:val="32"/>
          <w:szCs w:val="32"/>
        </w:rPr>
        <w:t>“阳光沐浴工程”等，着力改善农村基础设施条件。批复实施凯歌、冯庄等7个村集体经济发展试点项目，</w:t>
      </w:r>
      <w:r>
        <w:rPr>
          <w:rFonts w:eastAsia="仿宋_GB2312"/>
          <w:bCs/>
          <w:sz w:val="32"/>
          <w:szCs w:val="32"/>
        </w:rPr>
        <w:t>扶持壮大村集体经济</w:t>
      </w:r>
      <w:r>
        <w:rPr>
          <w:rFonts w:eastAsia="仿宋_GB2312"/>
          <w:sz w:val="32"/>
          <w:szCs w:val="32"/>
        </w:rPr>
        <w:t>。拨付资金881万元用于农业产业化贷款贴息，支持从事“1+4”产业且适度规模经营的专业大户、家庭农场、合作社等，为农业农村发展注入生</w:t>
      </w:r>
      <w:r>
        <w:rPr>
          <w:rFonts w:eastAsia="仿宋_GB2312"/>
          <w:sz w:val="32"/>
          <w:szCs w:val="32"/>
          <w:highlight w:val="none"/>
        </w:rPr>
        <w:t>机与活力</w:t>
      </w:r>
      <w:r>
        <w:rPr>
          <w:rFonts w:hint="eastAsia" w:eastAsia="仿宋_GB2312"/>
          <w:sz w:val="32"/>
          <w:szCs w:val="32"/>
          <w:highlight w:val="none"/>
          <w:lang w:eastAsia="zh-CN"/>
        </w:rPr>
        <w:t>。</w:t>
      </w:r>
      <w:r>
        <w:rPr>
          <w:rFonts w:hint="eastAsia" w:eastAsia="仿宋_GB2312"/>
          <w:color w:val="auto"/>
          <w:sz w:val="32"/>
          <w:szCs w:val="32"/>
          <w:highlight w:val="none"/>
        </w:rPr>
        <w:t>安排</w:t>
      </w:r>
      <w:r>
        <w:rPr>
          <w:rFonts w:hint="eastAsia" w:eastAsia="仿宋_GB2312"/>
          <w:color w:val="auto"/>
          <w:sz w:val="32"/>
          <w:szCs w:val="32"/>
          <w:highlight w:val="none"/>
          <w:lang w:eastAsia="zh-CN"/>
        </w:rPr>
        <w:t>资金</w:t>
      </w:r>
      <w:r>
        <w:rPr>
          <w:rFonts w:hint="eastAsia" w:eastAsia="仿宋_GB2312"/>
          <w:color w:val="auto"/>
          <w:sz w:val="32"/>
          <w:szCs w:val="32"/>
          <w:highlight w:val="none"/>
        </w:rPr>
        <w:t>95</w:t>
      </w:r>
      <w:r>
        <w:rPr>
          <w:rFonts w:hint="eastAsia" w:eastAsia="仿宋_GB2312"/>
          <w:color w:val="auto"/>
          <w:sz w:val="32"/>
          <w:szCs w:val="32"/>
          <w:highlight w:val="none"/>
          <w:lang w:val="en-US" w:eastAsia="zh-CN"/>
        </w:rPr>
        <w:t>8</w:t>
      </w:r>
      <w:r>
        <w:rPr>
          <w:rFonts w:hint="eastAsia" w:eastAsia="仿宋_GB2312"/>
          <w:color w:val="auto"/>
          <w:sz w:val="32"/>
          <w:szCs w:val="32"/>
          <w:highlight w:val="none"/>
        </w:rPr>
        <w:t>万元用于</w:t>
      </w:r>
      <w:r>
        <w:rPr>
          <w:rFonts w:eastAsia="仿宋_GB2312"/>
          <w:color w:val="auto"/>
          <w:sz w:val="32"/>
          <w:szCs w:val="32"/>
          <w:highlight w:val="none"/>
        </w:rPr>
        <w:t>政策性农业保险</w:t>
      </w:r>
      <w:r>
        <w:rPr>
          <w:rFonts w:hint="eastAsia" w:eastAsia="仿宋_GB2312"/>
          <w:color w:val="auto"/>
          <w:sz w:val="32"/>
          <w:szCs w:val="32"/>
          <w:highlight w:val="none"/>
        </w:rPr>
        <w:t>保费</w:t>
      </w:r>
      <w:r>
        <w:rPr>
          <w:rFonts w:eastAsia="仿宋_GB2312"/>
          <w:color w:val="auto"/>
          <w:sz w:val="32"/>
          <w:szCs w:val="32"/>
          <w:highlight w:val="none"/>
        </w:rPr>
        <w:t>补贴，</w:t>
      </w:r>
      <w:r>
        <w:rPr>
          <w:rFonts w:hint="eastAsia" w:eastAsia="仿宋_GB2312"/>
          <w:color w:val="auto"/>
          <w:sz w:val="32"/>
          <w:szCs w:val="32"/>
          <w:highlight w:val="none"/>
        </w:rPr>
        <w:t>支持</w:t>
      </w:r>
      <w:r>
        <w:rPr>
          <w:rFonts w:eastAsia="仿宋_GB2312"/>
          <w:color w:val="auto"/>
          <w:sz w:val="32"/>
          <w:szCs w:val="32"/>
          <w:highlight w:val="none"/>
        </w:rPr>
        <w:t>沙坡头区</w:t>
      </w:r>
      <w:r>
        <w:rPr>
          <w:rFonts w:hint="eastAsia" w:eastAsia="仿宋_GB2312"/>
          <w:color w:val="auto"/>
          <w:sz w:val="32"/>
          <w:szCs w:val="32"/>
          <w:highlight w:val="none"/>
        </w:rPr>
        <w:t>种养</w:t>
      </w:r>
      <w:r>
        <w:rPr>
          <w:rFonts w:eastAsia="仿宋_GB2312"/>
          <w:color w:val="auto"/>
          <w:sz w:val="32"/>
          <w:szCs w:val="32"/>
          <w:highlight w:val="none"/>
        </w:rPr>
        <w:t>业降低成本，提高抗风险</w:t>
      </w:r>
      <w:r>
        <w:rPr>
          <w:rFonts w:hint="eastAsia" w:eastAsia="仿宋_GB2312"/>
          <w:color w:val="auto"/>
          <w:sz w:val="32"/>
          <w:szCs w:val="32"/>
          <w:highlight w:val="none"/>
        </w:rPr>
        <w:t>能力</w:t>
      </w:r>
      <w:r>
        <w:rPr>
          <w:rFonts w:hint="eastAsia" w:eastAsia="仿宋_GB2312"/>
          <w:color w:val="auto"/>
          <w:sz w:val="32"/>
          <w:szCs w:val="32"/>
          <w:highlight w:val="none"/>
          <w:lang w:eastAsia="zh-CN"/>
        </w:rPr>
        <w:t>，</w:t>
      </w:r>
      <w:r>
        <w:rPr>
          <w:rFonts w:eastAsia="仿宋_GB2312"/>
          <w:bCs/>
          <w:color w:val="auto"/>
          <w:sz w:val="32"/>
          <w:szCs w:val="32"/>
          <w:highlight w:val="none"/>
        </w:rPr>
        <w:t>助力乡村振兴</w:t>
      </w:r>
      <w:r>
        <w:rPr>
          <w:rFonts w:eastAsia="仿宋_GB2312"/>
          <w:color w:val="auto"/>
          <w:sz w:val="32"/>
          <w:szCs w:val="32"/>
          <w:highlight w:val="none"/>
        </w:rPr>
        <w:t>。</w:t>
      </w:r>
    </w:p>
    <w:p>
      <w:pPr>
        <w:keepNext w:val="0"/>
        <w:keepLines w:val="0"/>
        <w:pageBreakBefore w:val="0"/>
        <w:kinsoku/>
        <w:wordWrap/>
        <w:overflowPunct/>
        <w:topLinePunct w:val="0"/>
        <w:autoSpaceDE/>
        <w:autoSpaceDN/>
        <w:bidi w:val="0"/>
        <w:adjustRightInd/>
        <w:spacing w:line="608" w:lineRule="exact"/>
        <w:ind w:right="0" w:firstLine="643" w:firstLineChars="200"/>
        <w:textAlignment w:val="auto"/>
        <w:outlineLvl w:val="9"/>
        <w:rPr>
          <w:rFonts w:eastAsia="仿宋_GB2312"/>
          <w:sz w:val="32"/>
          <w:szCs w:val="32"/>
        </w:rPr>
      </w:pPr>
      <w:r>
        <w:rPr>
          <w:rFonts w:eastAsia="仿宋_GB2312"/>
          <w:b/>
          <w:bCs/>
          <w:sz w:val="32"/>
          <w:szCs w:val="32"/>
        </w:rPr>
        <w:t>3.</w:t>
      </w:r>
      <w:r>
        <w:rPr>
          <w:rFonts w:eastAsia="仿宋_GB2312"/>
          <w:b/>
          <w:kern w:val="0"/>
          <w:sz w:val="32"/>
          <w:szCs w:val="32"/>
          <w:shd w:val="clear" w:color="auto" w:fill="FFFFFF"/>
          <w:lang w:bidi="ar"/>
        </w:rPr>
        <w:t>发挥资金引导作用，支持重点项目建设。</w:t>
      </w:r>
      <w:r>
        <w:rPr>
          <w:rFonts w:eastAsia="仿宋_GB2312"/>
          <w:sz w:val="32"/>
          <w:szCs w:val="32"/>
        </w:rPr>
        <w:t>紧紧围绕沙坡头区“四带一区”产业布局，安排</w:t>
      </w:r>
      <w:r>
        <w:rPr>
          <w:rFonts w:hint="eastAsia" w:eastAsia="仿宋_GB2312"/>
          <w:sz w:val="32"/>
          <w:szCs w:val="32"/>
          <w:lang w:val="en-US" w:eastAsia="zh-CN"/>
        </w:rPr>
        <w:t>5969</w:t>
      </w:r>
      <w:r>
        <w:rPr>
          <w:rFonts w:eastAsia="仿宋_GB2312"/>
          <w:sz w:val="32"/>
          <w:szCs w:val="32"/>
        </w:rPr>
        <w:t>万元用于永久性蔬菜产业项目建设、自治区级现代农业产业园项目、硒砂瓜品牌宣传</w:t>
      </w:r>
      <w:r>
        <w:rPr>
          <w:rFonts w:hint="eastAsia" w:eastAsia="仿宋_GB2312"/>
          <w:sz w:val="32"/>
          <w:szCs w:val="32"/>
          <w:lang w:eastAsia="zh-CN"/>
        </w:rPr>
        <w:t>、高标准新建农业设施</w:t>
      </w:r>
      <w:r>
        <w:rPr>
          <w:rFonts w:eastAsia="仿宋_GB2312"/>
          <w:sz w:val="32"/>
          <w:szCs w:val="32"/>
        </w:rPr>
        <w:t>等，推动沙坡头区现代农业提标升级</w:t>
      </w:r>
      <w:r>
        <w:rPr>
          <w:rFonts w:hint="eastAsia" w:eastAsia="仿宋_GB2312"/>
          <w:sz w:val="32"/>
          <w:szCs w:val="32"/>
          <w:lang w:eastAsia="zh-CN"/>
        </w:rPr>
        <w:t>、</w:t>
      </w:r>
      <w:r>
        <w:rPr>
          <w:rFonts w:eastAsia="仿宋_GB2312"/>
          <w:sz w:val="32"/>
          <w:szCs w:val="32"/>
        </w:rPr>
        <w:t>特色产业提质增效。安排</w:t>
      </w:r>
      <w:r>
        <w:rPr>
          <w:rFonts w:hint="eastAsia" w:eastAsia="仿宋_GB2312"/>
          <w:sz w:val="32"/>
          <w:szCs w:val="32"/>
          <w:lang w:val="en-US" w:eastAsia="zh-CN"/>
        </w:rPr>
        <w:t>785</w:t>
      </w:r>
      <w:r>
        <w:rPr>
          <w:rFonts w:eastAsia="仿宋_GB2312"/>
          <w:sz w:val="32"/>
          <w:szCs w:val="32"/>
        </w:rPr>
        <w:t>万元用于支持休闲农业示范点创建</w:t>
      </w:r>
      <w:r>
        <w:rPr>
          <w:rFonts w:hint="eastAsia" w:eastAsia="仿宋_GB2312"/>
          <w:sz w:val="32"/>
          <w:szCs w:val="32"/>
          <w:lang w:eastAsia="zh-CN"/>
        </w:rPr>
        <w:t>、田间学校和田头市场建设</w:t>
      </w:r>
      <w:r>
        <w:rPr>
          <w:rFonts w:eastAsia="仿宋_GB2312"/>
          <w:sz w:val="32"/>
          <w:szCs w:val="32"/>
        </w:rPr>
        <w:t>等，延长农业发展链条，扶持优势农业产业发展。探索投融资体制新模式，重点支持玉龙公司发挥实体公司自身优势，联合</w:t>
      </w:r>
      <w:r>
        <w:rPr>
          <w:rFonts w:hint="eastAsia" w:eastAsia="仿宋_GB2312"/>
          <w:sz w:val="32"/>
          <w:szCs w:val="32"/>
          <w:lang w:eastAsia="zh-CN"/>
        </w:rPr>
        <w:t>宁夏</w:t>
      </w:r>
      <w:r>
        <w:rPr>
          <w:rFonts w:eastAsia="仿宋_GB2312"/>
          <w:sz w:val="32"/>
          <w:szCs w:val="32"/>
        </w:rPr>
        <w:t>沙坡头旅游产业集团共同注资开发建设鸣沙村旅游扶贫项目，不断壮大沙坡头区国有公司经济实力。以京蓝生态科技有限公司为建设主体，在南山台双达村建设实验示范基地12000亩，待实验示范基地成功运营后，采取建设-运营-移交（BOT）模式实施新建高效节水灌溉二十万亩工程。</w:t>
      </w:r>
    </w:p>
    <w:p>
      <w:pPr>
        <w:keepNext w:val="0"/>
        <w:keepLines w:val="0"/>
        <w:pageBreakBefore w:val="0"/>
        <w:kinsoku/>
        <w:wordWrap/>
        <w:overflowPunct/>
        <w:topLinePunct w:val="0"/>
        <w:autoSpaceDE/>
        <w:autoSpaceDN/>
        <w:bidi w:val="0"/>
        <w:adjustRightInd/>
        <w:spacing w:line="608" w:lineRule="exact"/>
        <w:ind w:right="0" w:firstLine="643" w:firstLineChars="200"/>
        <w:textAlignment w:val="auto"/>
        <w:outlineLvl w:val="9"/>
        <w:rPr>
          <w:rFonts w:eastAsia="仿宋_GB2312"/>
          <w:sz w:val="32"/>
          <w:szCs w:val="32"/>
        </w:rPr>
      </w:pPr>
      <w:r>
        <w:rPr>
          <w:rFonts w:eastAsia="仿宋_GB2312"/>
          <w:b/>
          <w:kern w:val="0"/>
          <w:sz w:val="32"/>
          <w:szCs w:val="32"/>
          <w:shd w:val="clear" w:color="auto" w:fill="FFFFFF"/>
          <w:lang w:bidi="ar"/>
        </w:rPr>
        <w:t>4.坚持民生优先理念，切实保障和改善民生事业。</w:t>
      </w:r>
      <w:r>
        <w:rPr>
          <w:rFonts w:eastAsia="仿宋_GB2312"/>
          <w:b/>
          <w:bCs/>
          <w:sz w:val="32"/>
          <w:szCs w:val="32"/>
        </w:rPr>
        <w:t>社会保障方面，</w:t>
      </w:r>
      <w:r>
        <w:rPr>
          <w:rFonts w:hint="eastAsia" w:eastAsia="仿宋_GB2312"/>
          <w:sz w:val="32"/>
          <w:szCs w:val="40"/>
          <w:lang w:eastAsia="zh-CN"/>
        </w:rPr>
        <w:t>进一</w:t>
      </w:r>
      <w:r>
        <w:rPr>
          <w:rFonts w:eastAsia="仿宋_GB2312"/>
          <w:sz w:val="32"/>
          <w:szCs w:val="40"/>
        </w:rPr>
        <w:t>步</w:t>
      </w:r>
      <w:r>
        <w:rPr>
          <w:rFonts w:eastAsia="仿宋_GB2312"/>
          <w:sz w:val="32"/>
          <w:szCs w:val="32"/>
        </w:rPr>
        <w:t>提高</w:t>
      </w:r>
      <w:r>
        <w:rPr>
          <w:rFonts w:eastAsia="仿宋_GB2312"/>
          <w:sz w:val="32"/>
          <w:szCs w:val="40"/>
        </w:rPr>
        <w:t>城乡</w:t>
      </w:r>
      <w:r>
        <w:rPr>
          <w:rFonts w:hint="eastAsia" w:eastAsia="仿宋_GB2312"/>
          <w:sz w:val="32"/>
          <w:szCs w:val="40"/>
          <w:lang w:eastAsia="zh-CN"/>
        </w:rPr>
        <w:t>居民最低生活保障水平</w:t>
      </w:r>
      <w:r>
        <w:rPr>
          <w:rFonts w:eastAsia="仿宋_GB2312"/>
          <w:sz w:val="32"/>
          <w:szCs w:val="40"/>
        </w:rPr>
        <w:t>，城市低保由每人每月440元提高到560元，农村低保由每人每年3150元提高到3800元。</w:t>
      </w:r>
      <w:r>
        <w:rPr>
          <w:rFonts w:eastAsia="仿宋_GB2312"/>
          <w:sz w:val="32"/>
        </w:rPr>
        <w:t>通过财政“一卡通”累计发放城乡低保、孤儿、农村五保、重度残疾人</w:t>
      </w:r>
      <w:r>
        <w:rPr>
          <w:rFonts w:hint="eastAsia" w:eastAsia="仿宋_GB2312"/>
          <w:sz w:val="32"/>
          <w:lang w:eastAsia="zh-CN"/>
        </w:rPr>
        <w:t>、重点优抚对象</w:t>
      </w:r>
      <w:r>
        <w:rPr>
          <w:rFonts w:eastAsia="仿宋_GB2312"/>
          <w:sz w:val="32"/>
        </w:rPr>
        <w:t>等各类困难群众补助</w:t>
      </w:r>
      <w:r>
        <w:rPr>
          <w:rFonts w:eastAsia="仿宋_GB2312"/>
          <w:sz w:val="32"/>
          <w:szCs w:val="32"/>
        </w:rPr>
        <w:t>资金</w:t>
      </w:r>
      <w:r>
        <w:rPr>
          <w:rFonts w:hint="eastAsia" w:eastAsia="仿宋_GB2312"/>
          <w:sz w:val="32"/>
          <w:szCs w:val="32"/>
          <w:lang w:val="en-US" w:eastAsia="zh-CN"/>
        </w:rPr>
        <w:t>9770</w:t>
      </w:r>
      <w:r>
        <w:rPr>
          <w:rFonts w:eastAsia="仿宋_GB2312"/>
          <w:sz w:val="32"/>
          <w:szCs w:val="32"/>
        </w:rPr>
        <w:t>万元，惠及群众</w:t>
      </w:r>
      <w:r>
        <w:rPr>
          <w:rFonts w:hint="eastAsia" w:eastAsia="仿宋_GB2312"/>
          <w:sz w:val="32"/>
          <w:szCs w:val="32"/>
          <w:lang w:val="en-US" w:eastAsia="zh-CN"/>
        </w:rPr>
        <w:t>28.35</w:t>
      </w:r>
      <w:r>
        <w:rPr>
          <w:rFonts w:eastAsia="仿宋_GB2312"/>
          <w:sz w:val="32"/>
          <w:szCs w:val="32"/>
        </w:rPr>
        <w:t>万人次。</w:t>
      </w:r>
      <w:r>
        <w:rPr>
          <w:rFonts w:eastAsia="仿宋_GB2312"/>
          <w:b/>
          <w:bCs/>
          <w:sz w:val="32"/>
          <w:szCs w:val="32"/>
        </w:rPr>
        <w:t>救灾救济方面，</w:t>
      </w:r>
      <w:r>
        <w:rPr>
          <w:rFonts w:eastAsia="仿宋_GB2312"/>
          <w:sz w:val="32"/>
          <w:szCs w:val="32"/>
        </w:rPr>
        <w:t>筹措资金540万元用于冬令春荒救灾，解决受灾群众口粮、饮水等基本生活困难，缓解受灾群众生活压力。</w:t>
      </w:r>
      <w:r>
        <w:rPr>
          <w:rFonts w:eastAsia="仿宋_GB2312"/>
          <w:b/>
          <w:bCs/>
          <w:sz w:val="32"/>
          <w:szCs w:val="32"/>
        </w:rPr>
        <w:t>医疗救助方面，</w:t>
      </w:r>
      <w:r>
        <w:rPr>
          <w:rFonts w:eastAsia="仿宋_GB2312"/>
          <w:sz w:val="32"/>
          <w:szCs w:val="32"/>
        </w:rPr>
        <w:t>拨付城乡困难群众医疗救助资金</w:t>
      </w:r>
      <w:r>
        <w:rPr>
          <w:rFonts w:hint="eastAsia" w:eastAsia="仿宋_GB2312"/>
          <w:sz w:val="32"/>
          <w:szCs w:val="32"/>
          <w:lang w:val="en-US" w:eastAsia="zh-CN"/>
        </w:rPr>
        <w:t>1439</w:t>
      </w:r>
      <w:r>
        <w:rPr>
          <w:rFonts w:eastAsia="仿宋_GB2312"/>
          <w:sz w:val="32"/>
          <w:szCs w:val="32"/>
        </w:rPr>
        <w:t>万元，保障弱势群体医疗救助需求，有效减轻贫困群众家庭看病负担。</w:t>
      </w:r>
      <w:r>
        <w:rPr>
          <w:rFonts w:eastAsia="仿宋_GB2312"/>
          <w:b/>
          <w:bCs/>
          <w:sz w:val="32"/>
          <w:szCs w:val="32"/>
        </w:rPr>
        <w:t>创业就业方面，</w:t>
      </w:r>
      <w:r>
        <w:rPr>
          <w:rFonts w:eastAsia="仿宋_GB2312"/>
          <w:sz w:val="32"/>
          <w:szCs w:val="32"/>
        </w:rPr>
        <w:t>安排资金2</w:t>
      </w:r>
      <w:r>
        <w:rPr>
          <w:rFonts w:hint="eastAsia" w:eastAsia="仿宋_GB2312"/>
          <w:sz w:val="32"/>
          <w:szCs w:val="32"/>
          <w:lang w:val="en-US" w:eastAsia="zh-CN"/>
        </w:rPr>
        <w:t>533</w:t>
      </w:r>
      <w:r>
        <w:rPr>
          <w:rFonts w:eastAsia="仿宋_GB2312"/>
          <w:sz w:val="32"/>
          <w:szCs w:val="32"/>
        </w:rPr>
        <w:t>万元用于公益性岗位、“三支一扶”大学生、高校毕业生到村任职人员、西部计划大学生志愿者、</w:t>
      </w:r>
      <w:r>
        <w:rPr>
          <w:rFonts w:hint="eastAsia" w:eastAsia="仿宋_GB2312"/>
          <w:sz w:val="32"/>
          <w:szCs w:val="32"/>
          <w:lang w:eastAsia="zh-CN"/>
        </w:rPr>
        <w:t>实习大学生等就业补贴</w:t>
      </w:r>
      <w:r>
        <w:rPr>
          <w:rFonts w:eastAsia="仿宋_GB2312"/>
          <w:sz w:val="32"/>
          <w:szCs w:val="32"/>
        </w:rPr>
        <w:t>及新型职业农民培育工程，缓解就业压力。</w:t>
      </w:r>
      <w:r>
        <w:rPr>
          <w:rFonts w:eastAsia="仿宋_GB2312"/>
          <w:b/>
          <w:bCs/>
          <w:sz w:val="32"/>
          <w:szCs w:val="32"/>
        </w:rPr>
        <w:t>社会治理方面，</w:t>
      </w:r>
      <w:r>
        <w:rPr>
          <w:rFonts w:eastAsia="仿宋_GB2312"/>
          <w:sz w:val="32"/>
          <w:szCs w:val="32"/>
        </w:rPr>
        <w:t>安排</w:t>
      </w:r>
      <w:r>
        <w:rPr>
          <w:rFonts w:hint="eastAsia" w:eastAsia="仿宋_GB2312"/>
          <w:sz w:val="32"/>
          <w:szCs w:val="32"/>
          <w:lang w:eastAsia="zh-CN"/>
        </w:rPr>
        <w:t>禁毒专项资金</w:t>
      </w:r>
      <w:r>
        <w:rPr>
          <w:rFonts w:hint="eastAsia" w:eastAsia="仿宋_GB2312"/>
          <w:sz w:val="32"/>
          <w:szCs w:val="32"/>
          <w:lang w:val="en-US" w:eastAsia="zh-CN"/>
        </w:rPr>
        <w:t>546万元，</w:t>
      </w:r>
      <w:r>
        <w:rPr>
          <w:rFonts w:eastAsia="仿宋_GB2312"/>
          <w:sz w:val="32"/>
          <w:szCs w:val="32"/>
        </w:rPr>
        <w:t>全力支持禁毒示范县区创建</w:t>
      </w:r>
      <w:r>
        <w:rPr>
          <w:rFonts w:hint="eastAsia" w:eastAsia="仿宋_GB2312"/>
          <w:sz w:val="32"/>
          <w:szCs w:val="32"/>
          <w:lang w:eastAsia="zh-CN"/>
        </w:rPr>
        <w:t>；拨付</w:t>
      </w:r>
      <w:r>
        <w:rPr>
          <w:rFonts w:eastAsia="仿宋_GB2312"/>
          <w:sz w:val="32"/>
          <w:szCs w:val="32"/>
        </w:rPr>
        <w:t>信访维稳</w:t>
      </w:r>
      <w:r>
        <w:rPr>
          <w:rFonts w:hint="eastAsia" w:eastAsia="仿宋_GB2312"/>
          <w:sz w:val="32"/>
          <w:szCs w:val="32"/>
          <w:lang w:eastAsia="zh-CN"/>
        </w:rPr>
        <w:t>、扫黑除恶资金</w:t>
      </w:r>
      <w:r>
        <w:rPr>
          <w:rFonts w:hint="eastAsia" w:eastAsia="仿宋_GB2312"/>
          <w:sz w:val="32"/>
          <w:szCs w:val="32"/>
          <w:lang w:val="en-US" w:eastAsia="zh-CN"/>
        </w:rPr>
        <w:t>702</w:t>
      </w:r>
      <w:r>
        <w:rPr>
          <w:rFonts w:eastAsia="仿宋_GB2312"/>
          <w:sz w:val="32"/>
          <w:szCs w:val="32"/>
        </w:rPr>
        <w:t>万元，</w:t>
      </w:r>
      <w:r>
        <w:rPr>
          <w:rFonts w:hint="eastAsia" w:eastAsia="仿宋_GB2312"/>
          <w:sz w:val="32"/>
          <w:szCs w:val="32"/>
          <w:lang w:eastAsia="zh-CN"/>
        </w:rPr>
        <w:t>维护社会和谐稳定</w:t>
      </w:r>
      <w:r>
        <w:rPr>
          <w:rFonts w:eastAsia="仿宋_GB2312"/>
          <w:sz w:val="32"/>
          <w:szCs w:val="32"/>
        </w:rPr>
        <w:t>。</w:t>
      </w:r>
      <w:r>
        <w:rPr>
          <w:rFonts w:eastAsia="仿宋_GB2312"/>
          <w:b/>
          <w:bCs/>
          <w:sz w:val="32"/>
          <w:szCs w:val="32"/>
        </w:rPr>
        <w:t>惠农补助方面，</w:t>
      </w:r>
      <w:r>
        <w:rPr>
          <w:rFonts w:eastAsia="仿宋_GB2312"/>
          <w:sz w:val="32"/>
          <w:szCs w:val="32"/>
        </w:rPr>
        <w:t>通过“一卡通”兑付</w:t>
      </w:r>
      <w:r>
        <w:rPr>
          <w:rFonts w:hint="eastAsia" w:eastAsia="仿宋_GB2312"/>
          <w:sz w:val="32"/>
          <w:szCs w:val="32"/>
          <w:lang w:eastAsia="zh-CN"/>
        </w:rPr>
        <w:t>惠农补贴</w:t>
      </w:r>
      <w:r>
        <w:rPr>
          <w:rFonts w:eastAsia="仿宋_GB2312"/>
          <w:sz w:val="32"/>
          <w:szCs w:val="32"/>
        </w:rPr>
        <w:t>资金</w:t>
      </w:r>
      <w:r>
        <w:rPr>
          <w:rFonts w:hint="eastAsia" w:eastAsia="仿宋_GB2312"/>
          <w:sz w:val="32"/>
          <w:szCs w:val="32"/>
          <w:lang w:val="en-US" w:eastAsia="zh-CN"/>
        </w:rPr>
        <w:t>9093</w:t>
      </w:r>
      <w:r>
        <w:rPr>
          <w:rFonts w:eastAsia="仿宋_GB2312"/>
          <w:sz w:val="32"/>
          <w:szCs w:val="32"/>
        </w:rPr>
        <w:t>万元，用于发放退耕还林、农作物良种、</w:t>
      </w:r>
      <w:r>
        <w:rPr>
          <w:rFonts w:hint="eastAsia" w:eastAsia="仿宋_GB2312"/>
          <w:sz w:val="32"/>
          <w:szCs w:val="32"/>
          <w:lang w:val="en-US" w:eastAsia="zh-CN"/>
        </w:rPr>
        <w:t>农业支持保护、</w:t>
      </w:r>
      <w:r>
        <w:rPr>
          <w:rFonts w:eastAsia="仿宋_GB2312"/>
          <w:sz w:val="32"/>
          <w:szCs w:val="32"/>
        </w:rPr>
        <w:t>农机购置补贴及草原禁牧补助等。</w:t>
      </w:r>
    </w:p>
    <w:p>
      <w:pPr>
        <w:pStyle w:val="2"/>
        <w:keepNext w:val="0"/>
        <w:keepLines w:val="0"/>
        <w:pageBreakBefore w:val="0"/>
        <w:kinsoku/>
        <w:wordWrap/>
        <w:overflowPunct/>
        <w:topLinePunct w:val="0"/>
        <w:autoSpaceDE/>
        <w:autoSpaceDN/>
        <w:bidi w:val="0"/>
        <w:adjustRightInd/>
        <w:spacing w:line="608" w:lineRule="exact"/>
        <w:ind w:right="0" w:firstLine="643" w:firstLineChars="200"/>
        <w:textAlignment w:val="auto"/>
        <w:outlineLvl w:val="9"/>
        <w:rPr>
          <w:rFonts w:eastAsia="仿宋_GB2312"/>
          <w:sz w:val="32"/>
          <w:szCs w:val="32"/>
        </w:rPr>
      </w:pPr>
      <w:r>
        <w:rPr>
          <w:rFonts w:eastAsia="仿宋_GB2312"/>
          <w:b/>
          <w:sz w:val="32"/>
          <w:szCs w:val="32"/>
        </w:rPr>
        <w:t>5.积极采取有效措施，防范化解重大风险。一是防范化解债务风险。</w:t>
      </w:r>
      <w:r>
        <w:rPr>
          <w:rFonts w:eastAsia="仿宋_GB2312"/>
          <w:sz w:val="32"/>
          <w:szCs w:val="32"/>
        </w:rPr>
        <w:t>成立政府性债务管理领导小组，印发《关于加强政府债务管理防范化解隐性债务风险的实施方案》，建立健全“借、用、还”相统一的政府债务管理机制，</w:t>
      </w:r>
      <w:r>
        <w:rPr>
          <w:rFonts w:eastAsia="仿宋_GB2312"/>
          <w:bCs/>
          <w:sz w:val="32"/>
          <w:szCs w:val="32"/>
        </w:rPr>
        <w:t>进一步明确防范化解步骤及具体措施，强化审计监督和问责力度</w:t>
      </w:r>
      <w:r>
        <w:rPr>
          <w:rFonts w:hint="eastAsia" w:eastAsia="仿宋_GB2312"/>
          <w:sz w:val="32"/>
          <w:szCs w:val="32"/>
        </w:rPr>
        <w:t>。</w:t>
      </w:r>
      <w:r>
        <w:rPr>
          <w:rFonts w:eastAsia="仿宋_GB2312"/>
          <w:sz w:val="32"/>
          <w:szCs w:val="32"/>
        </w:rPr>
        <w:t>成立由财政、审计、建设、民政等部门组成的债务核查组，对隐性债务进行核实</w:t>
      </w:r>
      <w:r>
        <w:rPr>
          <w:rFonts w:hint="eastAsia" w:eastAsia="仿宋_GB2312"/>
          <w:sz w:val="32"/>
          <w:szCs w:val="32"/>
        </w:rPr>
        <w:t>。</w:t>
      </w:r>
      <w:r>
        <w:rPr>
          <w:rFonts w:eastAsia="仿宋_GB2312"/>
          <w:sz w:val="32"/>
          <w:szCs w:val="32"/>
        </w:rPr>
        <w:t>实行债务动态管理，定期通过隐性债务监测系统监控债务变化情况。</w:t>
      </w:r>
      <w:r>
        <w:rPr>
          <w:rFonts w:eastAsia="仿宋_GB2312"/>
          <w:b/>
          <w:bCs/>
          <w:sz w:val="32"/>
          <w:szCs w:val="32"/>
        </w:rPr>
        <w:t>二是防范化解金融风险。</w:t>
      </w:r>
      <w:r>
        <w:rPr>
          <w:rFonts w:eastAsia="仿宋_GB2312"/>
          <w:sz w:val="32"/>
          <w:szCs w:val="32"/>
        </w:rPr>
        <w:t>成立沙坡头区防范和处置非法集资工作领导小组，建立联席会议制度，形成了区委、政府主要领导亲自抓，分管领导具体抓，相关部门共同参与的工作机制。制定了《涉嫌非法集资风险专项排查活动方案》《防范非法集资月宣传方案》《开展涉嫌非法集资广告资讯排查活动方案》，充分调动各方参与防范处置非法集资排查工作，共组织集中宣传活动82次，制作悬挂横幅15条，参与群众15757余人次。</w:t>
      </w:r>
    </w:p>
    <w:p>
      <w:pPr>
        <w:pStyle w:val="19"/>
        <w:keepNext w:val="0"/>
        <w:keepLines w:val="0"/>
        <w:pageBreakBefore w:val="0"/>
        <w:widowControl/>
        <w:kinsoku/>
        <w:wordWrap/>
        <w:overflowPunct/>
        <w:topLinePunct w:val="0"/>
        <w:autoSpaceDE/>
        <w:autoSpaceDN/>
        <w:bidi w:val="0"/>
        <w:adjustRightInd/>
        <w:spacing w:line="608" w:lineRule="exact"/>
        <w:ind w:right="0" w:firstLine="643" w:firstLineChars="200"/>
        <w:textAlignment w:val="auto"/>
        <w:outlineLvl w:val="9"/>
        <w:rPr>
          <w:rFonts w:ascii="Times New Roman" w:hAnsi="Times New Roman" w:eastAsia="仿宋_GB2312" w:cs="Times New Roman"/>
          <w:spacing w:val="-6"/>
          <w:sz w:val="32"/>
          <w:szCs w:val="32"/>
        </w:rPr>
      </w:pPr>
      <w:r>
        <w:rPr>
          <w:rFonts w:ascii="Times New Roman" w:hAnsi="Times New Roman" w:eastAsia="仿宋_GB2312" w:cs="Times New Roman"/>
          <w:b/>
          <w:bCs/>
          <w:sz w:val="32"/>
          <w:szCs w:val="32"/>
        </w:rPr>
        <w:t>6.深化财政体制改革</w:t>
      </w:r>
      <w:r>
        <w:rPr>
          <w:rFonts w:ascii="Times New Roman" w:hAnsi="Times New Roman" w:eastAsia="仿宋_GB2312" w:cs="Times New Roman"/>
          <w:b/>
          <w:bCs/>
          <w:sz w:val="32"/>
          <w:szCs w:val="32"/>
          <w:shd w:val="clear" w:color="auto" w:fill="FFFFFF"/>
          <w:lang w:bidi="ar"/>
        </w:rPr>
        <w:t>，提升财政管理科学化水平。</w:t>
      </w:r>
      <w:r>
        <w:rPr>
          <w:rFonts w:ascii="Times New Roman" w:hAnsi="Times New Roman" w:eastAsia="仿宋_GB2312" w:cs="Times New Roman"/>
          <w:b/>
          <w:sz w:val="32"/>
          <w:szCs w:val="32"/>
          <w:shd w:val="clear" w:color="auto" w:fill="FFFFFF"/>
        </w:rPr>
        <w:t>预算管理方面，</w:t>
      </w:r>
      <w:r>
        <w:rPr>
          <w:rFonts w:ascii="Times New Roman" w:hAnsi="Times New Roman" w:eastAsia="仿宋_GB2312" w:cs="Times New Roman"/>
          <w:sz w:val="32"/>
          <w:szCs w:val="32"/>
          <w:shd w:val="clear" w:color="auto" w:fill="FFFFFF"/>
        </w:rPr>
        <w:t>深入贯彻落实《预算法》，改进预算编制方法，从2018年起正式实施支出经济分类科目改革；</w:t>
      </w:r>
      <w:r>
        <w:rPr>
          <w:rFonts w:ascii="Times New Roman" w:hAnsi="Times New Roman" w:eastAsia="仿宋_GB2312" w:cs="Times New Roman"/>
          <w:sz w:val="32"/>
          <w:szCs w:val="32"/>
        </w:rPr>
        <w:t>制定《沙坡头区预决算公开规程》，对政府预决算、部门预决算及“三公”经费预</w:t>
      </w:r>
      <w:r>
        <w:rPr>
          <w:rFonts w:hint="eastAsia" w:ascii="Times New Roman" w:hAnsi="Times New Roman" w:eastAsia="仿宋_GB2312" w:cs="Times New Roman"/>
          <w:sz w:val="32"/>
          <w:szCs w:val="32"/>
        </w:rPr>
        <w:t>决</w:t>
      </w:r>
      <w:r>
        <w:rPr>
          <w:rFonts w:ascii="Times New Roman" w:hAnsi="Times New Roman" w:eastAsia="仿宋_GB2312" w:cs="Times New Roman"/>
          <w:sz w:val="32"/>
          <w:szCs w:val="32"/>
        </w:rPr>
        <w:t>算信息进行全面公开，</w:t>
      </w:r>
      <w:r>
        <w:rPr>
          <w:rFonts w:ascii="Times New Roman" w:hAnsi="Times New Roman" w:eastAsia="仿宋_GB2312" w:cs="Times New Roman"/>
          <w:sz w:val="32"/>
          <w:szCs w:val="32"/>
          <w:shd w:val="clear" w:color="auto" w:fill="FFFFFF"/>
          <w:lang w:bidi="ar"/>
        </w:rPr>
        <w:t>主动接受社会监督</w:t>
      </w:r>
      <w:r>
        <w:rPr>
          <w:rFonts w:ascii="Times New Roman" w:hAnsi="Times New Roman" w:eastAsia="仿宋_GB2312" w:cs="Times New Roman"/>
          <w:sz w:val="32"/>
          <w:szCs w:val="32"/>
        </w:rPr>
        <w:t>；</w:t>
      </w:r>
      <w:r>
        <w:rPr>
          <w:rFonts w:ascii="Times New Roman" w:hAnsi="Times New Roman" w:eastAsia="仿宋_GB2312" w:cs="Times New Roman"/>
          <w:sz w:val="32"/>
          <w:szCs w:val="32"/>
          <w:shd w:val="clear" w:color="auto" w:fill="FFFFFF"/>
        </w:rPr>
        <w:t>推行财政预算绩效管理，初步拟定沙坡头区预算绩效管理办法，逐步建立“预算编制有目标、预算执行有监督、预算完成有评价”的预算绩效管理模式。</w:t>
      </w:r>
      <w:r>
        <w:rPr>
          <w:rFonts w:ascii="Times New Roman" w:hAnsi="Times New Roman" w:eastAsia="仿宋_GB2312" w:cs="Times New Roman"/>
          <w:b/>
          <w:sz w:val="32"/>
          <w:szCs w:val="32"/>
          <w:shd w:val="clear" w:color="auto" w:fill="FFFFFF"/>
        </w:rPr>
        <w:t>财政监督方面，</w:t>
      </w:r>
      <w:r>
        <w:rPr>
          <w:rFonts w:ascii="Times New Roman" w:hAnsi="Times New Roman" w:eastAsia="仿宋_GB2312" w:cs="Times New Roman"/>
          <w:sz w:val="32"/>
          <w:szCs w:val="32"/>
        </w:rPr>
        <w:t>继续贯彻执行“三公”经费报送制度，</w:t>
      </w:r>
      <w:r>
        <w:rPr>
          <w:rFonts w:ascii="Times New Roman" w:hAnsi="Times New Roman" w:eastAsia="仿宋_GB2312" w:cs="Times New Roman"/>
          <w:sz w:val="32"/>
          <w:szCs w:val="32"/>
          <w:shd w:val="clear" w:color="auto" w:fill="FFFFFF"/>
          <w:lang w:bidi="ar"/>
        </w:rPr>
        <w:t>严把预算关，大力降低公务活动成本</w:t>
      </w:r>
      <w:r>
        <w:rPr>
          <w:rFonts w:ascii="Times New Roman" w:hAnsi="Times New Roman" w:eastAsia="仿宋_GB2312" w:cs="Times New Roman"/>
          <w:sz w:val="32"/>
          <w:szCs w:val="32"/>
        </w:rPr>
        <w:t>；首次聘请中介机构参与会计信息质量检查，对抽查单位账务核算、资产管理、票据管理等方面开展检查，规范会计行为；对纳入国库集中支付资金进行动态监控，累计监控疑似违规资金8277笔，处理疑似违规资金5376万元；</w:t>
      </w:r>
      <w:r>
        <w:rPr>
          <w:rFonts w:ascii="Times New Roman" w:hAnsi="Times New Roman" w:eastAsia="仿宋_GB2312" w:cs="Times New Roman"/>
          <w:spacing w:val="-12"/>
          <w:sz w:val="32"/>
          <w:szCs w:val="32"/>
        </w:rPr>
        <w:t>持续推进公务卡强制结算制度</w:t>
      </w:r>
      <w:r>
        <w:rPr>
          <w:rFonts w:ascii="Times New Roman" w:hAnsi="Times New Roman" w:eastAsia="仿宋_GB2312" w:cs="Times New Roman"/>
          <w:sz w:val="32"/>
          <w:szCs w:val="32"/>
        </w:rPr>
        <w:t>，实现公务卡还款报账结算金额291万元，同比增长</w:t>
      </w:r>
      <w:r>
        <w:rPr>
          <w:rFonts w:hint="eastAsia" w:ascii="Times New Roman" w:hAnsi="Times New Roman" w:eastAsia="仿宋_GB2312" w:cs="Times New Roman"/>
          <w:sz w:val="32"/>
          <w:szCs w:val="32"/>
        </w:rPr>
        <w:t>13%</w:t>
      </w:r>
      <w:r>
        <w:rPr>
          <w:rFonts w:ascii="Times New Roman" w:hAnsi="Times New Roman" w:eastAsia="仿宋_GB2312" w:cs="Times New Roman"/>
          <w:sz w:val="32"/>
          <w:szCs w:val="32"/>
        </w:rPr>
        <w:t>。</w:t>
      </w:r>
      <w:r>
        <w:rPr>
          <w:rFonts w:ascii="Times New Roman" w:hAnsi="Times New Roman" w:eastAsia="仿宋_GB2312" w:cs="Times New Roman"/>
          <w:b/>
          <w:bCs/>
          <w:sz w:val="32"/>
          <w:szCs w:val="32"/>
        </w:rPr>
        <w:t>资产监管方面，</w:t>
      </w:r>
      <w:r>
        <w:rPr>
          <w:rFonts w:hint="eastAsia" w:ascii="Times New Roman" w:hAnsi="Times New Roman" w:eastAsia="仿宋_GB2312" w:cs="Times New Roman"/>
          <w:b w:val="0"/>
          <w:bCs w:val="0"/>
          <w:sz w:val="32"/>
          <w:szCs w:val="32"/>
          <w:lang w:eastAsia="zh-CN"/>
        </w:rPr>
        <w:t>健全完善资产管理制度，</w:t>
      </w:r>
      <w:r>
        <w:rPr>
          <w:rFonts w:ascii="Times New Roman" w:hAnsi="Times New Roman" w:eastAsia="仿宋_GB2312" w:cs="Times New Roman"/>
          <w:b w:val="0"/>
          <w:bCs w:val="0"/>
          <w:sz w:val="32"/>
          <w:szCs w:val="32"/>
        </w:rPr>
        <w:t>组</w:t>
      </w:r>
      <w:r>
        <w:rPr>
          <w:rFonts w:ascii="Times New Roman" w:hAnsi="Times New Roman" w:eastAsia="仿宋_GB2312" w:cs="Times New Roman"/>
          <w:sz w:val="32"/>
          <w:szCs w:val="32"/>
        </w:rPr>
        <w:t>织开展行政事业单位资产报表</w:t>
      </w:r>
      <w:r>
        <w:rPr>
          <w:rFonts w:hint="eastAsia" w:ascii="Times New Roman" w:hAnsi="Times New Roman" w:eastAsia="仿宋_GB2312" w:cs="Times New Roman"/>
          <w:sz w:val="32"/>
          <w:szCs w:val="32"/>
          <w:lang w:eastAsia="zh-CN"/>
        </w:rPr>
        <w:t>上报、</w:t>
      </w:r>
      <w:r>
        <w:rPr>
          <w:rFonts w:ascii="Times New Roman" w:hAnsi="Times New Roman" w:eastAsia="仿宋_GB2312" w:cs="Times New Roman"/>
          <w:sz w:val="32"/>
          <w:szCs w:val="32"/>
        </w:rPr>
        <w:t>经管资产报告及自然资源国有资产报告试点工作，进一步摸清资产家底；配合</w:t>
      </w:r>
      <w:r>
        <w:rPr>
          <w:rFonts w:hint="eastAsia" w:ascii="Times New Roman" w:hAnsi="Times New Roman" w:eastAsia="仿宋_GB2312" w:cs="Times New Roman"/>
          <w:sz w:val="32"/>
          <w:szCs w:val="32"/>
        </w:rPr>
        <w:t>实施沙坡头区国有</w:t>
      </w:r>
      <w:r>
        <w:rPr>
          <w:rFonts w:hint="eastAsia" w:ascii="Times New Roman" w:hAnsi="Times New Roman" w:eastAsia="仿宋_GB2312" w:cs="Times New Roman"/>
          <w:spacing w:val="-6"/>
          <w:sz w:val="32"/>
          <w:szCs w:val="32"/>
        </w:rPr>
        <w:t>企业、事业单位公车改革，落实行政单位</w:t>
      </w:r>
      <w:r>
        <w:rPr>
          <w:rFonts w:ascii="Times New Roman" w:hAnsi="Times New Roman" w:eastAsia="仿宋_GB2312" w:cs="Times New Roman"/>
          <w:spacing w:val="-6"/>
          <w:sz w:val="32"/>
          <w:szCs w:val="32"/>
        </w:rPr>
        <w:t>公车改革</w:t>
      </w:r>
      <w:r>
        <w:rPr>
          <w:rFonts w:hint="eastAsia" w:ascii="Times New Roman" w:hAnsi="Times New Roman" w:eastAsia="仿宋_GB2312" w:cs="Times New Roman"/>
          <w:spacing w:val="-6"/>
          <w:sz w:val="32"/>
          <w:szCs w:val="32"/>
        </w:rPr>
        <w:t>后续</w:t>
      </w:r>
      <w:r>
        <w:rPr>
          <w:rFonts w:ascii="Times New Roman" w:hAnsi="Times New Roman" w:eastAsia="仿宋_GB2312" w:cs="Times New Roman"/>
          <w:spacing w:val="-6"/>
          <w:sz w:val="32"/>
          <w:szCs w:val="32"/>
        </w:rPr>
        <w:t>车辆封存、鉴定评估</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报废车辆批复</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公开拍卖，有效提升公务用车管理水平。</w:t>
      </w:r>
    </w:p>
    <w:p>
      <w:pPr>
        <w:keepNext w:val="0"/>
        <w:keepLines w:val="0"/>
        <w:pageBreakBefore w:val="0"/>
        <w:widowControl/>
        <w:shd w:val="clear" w:color="auto" w:fill="FFFFFF"/>
        <w:kinsoku/>
        <w:wordWrap/>
        <w:overflowPunct/>
        <w:topLinePunct w:val="0"/>
        <w:autoSpaceDE/>
        <w:autoSpaceDN/>
        <w:bidi w:val="0"/>
        <w:adjustRightInd/>
        <w:spacing w:line="608" w:lineRule="exact"/>
        <w:ind w:right="0" w:firstLine="640" w:firstLineChars="200"/>
        <w:jc w:val="left"/>
        <w:textAlignment w:val="auto"/>
        <w:outlineLvl w:val="9"/>
        <w:rPr>
          <w:rFonts w:eastAsia="仿宋_GB2312"/>
          <w:sz w:val="32"/>
          <w:szCs w:val="32"/>
        </w:rPr>
      </w:pPr>
      <w:r>
        <w:rPr>
          <w:rFonts w:eastAsia="仿宋_GB2312"/>
          <w:kern w:val="0"/>
          <w:sz w:val="32"/>
          <w:szCs w:val="32"/>
        </w:rPr>
        <w:t>各位代表，2018年沙坡头区</w:t>
      </w:r>
      <w:r>
        <w:rPr>
          <w:rFonts w:eastAsia="仿宋_GB2312"/>
          <w:sz w:val="32"/>
          <w:szCs w:val="32"/>
        </w:rPr>
        <w:t>财政运行情况基本平稳，财政管理水平进一步提升，预算管理透明度显著提高。但是，我们也清醒地认识到，财政运行还面临着一些困难和问题。主要是：主导性产业发展不足，政策性减税影响效应</w:t>
      </w:r>
      <w:r>
        <w:rPr>
          <w:rFonts w:hint="eastAsia" w:eastAsia="仿宋_GB2312"/>
          <w:sz w:val="32"/>
          <w:szCs w:val="32"/>
        </w:rPr>
        <w:t>明显</w:t>
      </w:r>
      <w:r>
        <w:rPr>
          <w:rFonts w:eastAsia="仿宋_GB2312"/>
          <w:sz w:val="32"/>
          <w:szCs w:val="32"/>
        </w:rPr>
        <w:t>，税收收入增长乏力；财政刚性支出逐年增长，稳增长、惠民生、调结构、防风险、促改革等方面增支需求加大</w:t>
      </w:r>
      <w:r>
        <w:rPr>
          <w:rFonts w:eastAsia="仿宋_GB2312"/>
          <w:kern w:val="0"/>
          <w:sz w:val="32"/>
          <w:szCs w:val="32"/>
          <w:shd w:val="clear" w:color="auto" w:fill="FFFFFF"/>
          <w:lang w:bidi="ar"/>
        </w:rPr>
        <w:t>，财力增长与支出需求矛盾突出</w:t>
      </w:r>
      <w:r>
        <w:rPr>
          <w:rFonts w:eastAsia="仿宋_GB2312"/>
          <w:sz w:val="32"/>
          <w:szCs w:val="32"/>
        </w:rPr>
        <w:t>；单位对贯彻执行《预算法》重要性认识不足，年中追加预算事项仍然突出等。</w:t>
      </w:r>
      <w:r>
        <w:rPr>
          <w:rFonts w:eastAsia="仿宋_GB2312"/>
          <w:sz w:val="32"/>
          <w:szCs w:val="32"/>
          <w:shd w:val="clear" w:color="auto" w:fill="FFFFFF"/>
        </w:rPr>
        <w:t>面对这些困难和问题，我们将高度重视，认真研究加以解决。</w:t>
      </w:r>
    </w:p>
    <w:p>
      <w:pPr>
        <w:keepNext w:val="0"/>
        <w:keepLines w:val="0"/>
        <w:pageBreakBefore w:val="0"/>
        <w:kinsoku/>
        <w:wordWrap/>
        <w:overflowPunct/>
        <w:topLinePunct w:val="0"/>
        <w:autoSpaceDE/>
        <w:autoSpaceDN/>
        <w:bidi w:val="0"/>
        <w:adjustRightInd/>
        <w:spacing w:line="608" w:lineRule="exact"/>
        <w:ind w:right="0" w:firstLine="640" w:firstLineChars="200"/>
        <w:textAlignment w:val="auto"/>
        <w:outlineLvl w:val="9"/>
        <w:rPr>
          <w:rFonts w:eastAsia="黑体"/>
          <w:sz w:val="32"/>
          <w:szCs w:val="32"/>
        </w:rPr>
      </w:pPr>
      <w:r>
        <w:rPr>
          <w:rFonts w:eastAsia="黑体"/>
          <w:sz w:val="32"/>
          <w:szCs w:val="32"/>
        </w:rPr>
        <w:t>二、2019年预算草案</w:t>
      </w:r>
    </w:p>
    <w:p>
      <w:pPr>
        <w:keepNext w:val="0"/>
        <w:keepLines w:val="0"/>
        <w:pageBreakBefore w:val="0"/>
        <w:kinsoku/>
        <w:wordWrap/>
        <w:overflowPunct/>
        <w:topLinePunct w:val="0"/>
        <w:autoSpaceDE/>
        <w:autoSpaceDN/>
        <w:bidi w:val="0"/>
        <w:adjustRightInd/>
        <w:spacing w:line="608" w:lineRule="exact"/>
        <w:ind w:right="0" w:firstLine="640" w:firstLineChars="200"/>
        <w:textAlignment w:val="auto"/>
        <w:outlineLvl w:val="9"/>
        <w:rPr>
          <w:rFonts w:eastAsia="仿宋_GB2312"/>
          <w:sz w:val="32"/>
          <w:szCs w:val="32"/>
        </w:rPr>
      </w:pPr>
      <w:r>
        <w:rPr>
          <w:rFonts w:eastAsia="仿宋_GB2312"/>
          <w:sz w:val="32"/>
          <w:szCs w:val="32"/>
        </w:rPr>
        <w:t>2019年，将在区委、政府的坚强领导下，以“抓好重点亮点工作”为切入点，以“深化改革创新”为着力点，坚持“依法理财、统筹兼顾、以收定支、收支平衡”的预算编制原则，牢固树立“过紧日子”的思想，</w:t>
      </w:r>
      <w:r>
        <w:rPr>
          <w:rFonts w:eastAsia="仿宋_GB2312"/>
          <w:kern w:val="0"/>
          <w:sz w:val="32"/>
          <w:szCs w:val="32"/>
          <w:shd w:val="clear" w:color="auto" w:fill="FFFFFF"/>
          <w:lang w:bidi="ar"/>
        </w:rPr>
        <w:t>科学合理编制2019年预算</w:t>
      </w:r>
      <w:r>
        <w:rPr>
          <w:rFonts w:hint="eastAsia" w:eastAsia="仿宋_GB2312"/>
          <w:kern w:val="0"/>
          <w:sz w:val="32"/>
          <w:szCs w:val="32"/>
          <w:shd w:val="clear" w:color="auto" w:fill="FFFFFF"/>
          <w:lang w:bidi="ar"/>
        </w:rPr>
        <w:t>，</w:t>
      </w:r>
      <w:r>
        <w:rPr>
          <w:rFonts w:eastAsia="仿宋_GB2312"/>
          <w:kern w:val="0"/>
          <w:sz w:val="32"/>
          <w:szCs w:val="32"/>
          <w:shd w:val="clear" w:color="auto" w:fill="FFFFFF"/>
          <w:lang w:bidi="ar"/>
        </w:rPr>
        <w:t>坚决履行好财政服务社会经济事业发展的使命，确保把各项财政政策和区委重大决策部署落到实处。</w:t>
      </w:r>
    </w:p>
    <w:p>
      <w:pPr>
        <w:keepNext w:val="0"/>
        <w:keepLines w:val="0"/>
        <w:pageBreakBefore w:val="0"/>
        <w:widowControl w:val="0"/>
        <w:kinsoku/>
        <w:wordWrap/>
        <w:overflowPunct/>
        <w:topLinePunct w:val="0"/>
        <w:autoSpaceDE/>
        <w:autoSpaceDN/>
        <w:bidi w:val="0"/>
        <w:adjustRightInd/>
        <w:snapToGrid/>
        <w:spacing w:line="586" w:lineRule="exact"/>
        <w:ind w:right="0" w:firstLine="643" w:firstLineChars="200"/>
        <w:textAlignment w:val="auto"/>
        <w:outlineLvl w:val="9"/>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val="en-US" w:eastAsia="zh-CN"/>
        </w:rPr>
        <w:t>（一）</w:t>
      </w:r>
      <w:r>
        <w:rPr>
          <w:rFonts w:hint="eastAsia" w:ascii="楷体_GB2312" w:hAnsi="楷体_GB2312" w:eastAsia="楷体_GB2312" w:cs="楷体_GB2312"/>
          <w:b/>
          <w:sz w:val="32"/>
          <w:szCs w:val="32"/>
        </w:rPr>
        <w:t>一般公共预算收入</w:t>
      </w:r>
    </w:p>
    <w:p>
      <w:pPr>
        <w:keepNext w:val="0"/>
        <w:keepLines w:val="0"/>
        <w:pageBreakBefore w:val="0"/>
        <w:kinsoku/>
        <w:wordWrap/>
        <w:overflowPunct/>
        <w:topLinePunct w:val="0"/>
        <w:autoSpaceDE/>
        <w:autoSpaceDN/>
        <w:bidi w:val="0"/>
        <w:adjustRightInd/>
        <w:spacing w:line="608" w:lineRule="exact"/>
        <w:ind w:right="0" w:firstLine="616" w:firstLineChars="200"/>
        <w:textAlignment w:val="auto"/>
        <w:outlineLvl w:val="9"/>
        <w:rPr>
          <w:rFonts w:eastAsia="仿宋_GB2312"/>
          <w:spacing w:val="-6"/>
          <w:sz w:val="32"/>
          <w:szCs w:val="32"/>
        </w:rPr>
      </w:pPr>
      <w:r>
        <w:rPr>
          <w:rFonts w:eastAsia="仿宋_GB2312"/>
          <w:spacing w:val="-6"/>
          <w:sz w:val="32"/>
          <w:szCs w:val="32"/>
        </w:rPr>
        <w:t>2019年沙坡头区一般公共预算收入来源为</w:t>
      </w:r>
      <w:r>
        <w:rPr>
          <w:rFonts w:hint="eastAsia" w:eastAsia="仿宋_GB2312"/>
          <w:spacing w:val="-6"/>
          <w:sz w:val="32"/>
          <w:szCs w:val="32"/>
          <w:lang w:val="en-US" w:eastAsia="zh-CN"/>
        </w:rPr>
        <w:t>42250</w:t>
      </w:r>
      <w:r>
        <w:rPr>
          <w:rFonts w:eastAsia="仿宋_GB2312"/>
          <w:spacing w:val="-6"/>
          <w:sz w:val="32"/>
          <w:szCs w:val="32"/>
        </w:rPr>
        <w:t>万元，其中：</w:t>
      </w:r>
    </w:p>
    <w:p>
      <w:pPr>
        <w:keepNext w:val="0"/>
        <w:keepLines w:val="0"/>
        <w:pageBreakBefore w:val="0"/>
        <w:kinsoku/>
        <w:wordWrap/>
        <w:overflowPunct/>
        <w:topLinePunct w:val="0"/>
        <w:autoSpaceDE/>
        <w:autoSpaceDN/>
        <w:bidi w:val="0"/>
        <w:adjustRightInd/>
        <w:spacing w:line="608" w:lineRule="exact"/>
        <w:ind w:right="0" w:firstLine="616" w:firstLineChars="200"/>
        <w:textAlignment w:val="auto"/>
        <w:outlineLvl w:val="9"/>
        <w:rPr>
          <w:rFonts w:eastAsia="仿宋_GB2312"/>
          <w:spacing w:val="-6"/>
          <w:sz w:val="32"/>
          <w:szCs w:val="32"/>
        </w:rPr>
      </w:pPr>
      <w:r>
        <w:rPr>
          <w:rFonts w:hint="eastAsia" w:eastAsia="仿宋_GB2312"/>
          <w:spacing w:val="-6"/>
          <w:sz w:val="32"/>
          <w:szCs w:val="32"/>
          <w:lang w:val="en-US" w:eastAsia="zh-CN"/>
        </w:rPr>
        <w:t>1.</w:t>
      </w:r>
      <w:r>
        <w:rPr>
          <w:rFonts w:eastAsia="仿宋_GB2312"/>
          <w:spacing w:val="-6"/>
          <w:sz w:val="32"/>
          <w:szCs w:val="32"/>
        </w:rPr>
        <w:t>沙坡头区本级一般公共预算收入</w:t>
      </w:r>
      <w:r>
        <w:rPr>
          <w:rFonts w:hint="eastAsia" w:eastAsia="仿宋_GB2312"/>
          <w:spacing w:val="-6"/>
          <w:sz w:val="32"/>
          <w:szCs w:val="32"/>
          <w:lang w:val="en-US" w:eastAsia="zh-CN"/>
        </w:rPr>
        <w:t>31030</w:t>
      </w:r>
      <w:r>
        <w:rPr>
          <w:rFonts w:eastAsia="仿宋_GB2312"/>
          <w:spacing w:val="-6"/>
          <w:sz w:val="32"/>
          <w:szCs w:val="32"/>
        </w:rPr>
        <w:t>万元，较上年完成数增长</w:t>
      </w:r>
      <w:r>
        <w:rPr>
          <w:rFonts w:hint="eastAsia" w:eastAsia="仿宋_GB2312"/>
          <w:spacing w:val="-6"/>
          <w:sz w:val="32"/>
          <w:szCs w:val="32"/>
          <w:lang w:val="en-US" w:eastAsia="zh-CN"/>
        </w:rPr>
        <w:t>14.27</w:t>
      </w:r>
      <w:r>
        <w:rPr>
          <w:rFonts w:eastAsia="仿宋_GB2312"/>
          <w:spacing w:val="-6"/>
          <w:sz w:val="32"/>
          <w:szCs w:val="32"/>
        </w:rPr>
        <w:t>%，其中：税收收入</w:t>
      </w:r>
      <w:r>
        <w:rPr>
          <w:rFonts w:hint="eastAsia" w:eastAsia="仿宋_GB2312"/>
          <w:spacing w:val="-6"/>
          <w:sz w:val="32"/>
          <w:szCs w:val="32"/>
          <w:lang w:val="en-US" w:eastAsia="zh-CN"/>
        </w:rPr>
        <w:t>29750</w:t>
      </w:r>
      <w:r>
        <w:rPr>
          <w:rFonts w:eastAsia="仿宋_GB2312"/>
          <w:spacing w:val="-6"/>
          <w:sz w:val="32"/>
          <w:szCs w:val="32"/>
        </w:rPr>
        <w:t>万元，非税收入1280万元。</w:t>
      </w:r>
    </w:p>
    <w:p>
      <w:pPr>
        <w:keepNext w:val="0"/>
        <w:keepLines w:val="0"/>
        <w:pageBreakBefore w:val="0"/>
        <w:kinsoku/>
        <w:wordWrap/>
        <w:overflowPunct/>
        <w:topLinePunct w:val="0"/>
        <w:autoSpaceDE/>
        <w:autoSpaceDN/>
        <w:bidi w:val="0"/>
        <w:adjustRightInd/>
        <w:spacing w:line="608" w:lineRule="exact"/>
        <w:ind w:right="0" w:firstLine="640" w:firstLineChars="200"/>
        <w:textAlignment w:val="auto"/>
        <w:outlineLvl w:val="9"/>
        <w:rPr>
          <w:rFonts w:eastAsia="仿宋_GB2312"/>
          <w:sz w:val="32"/>
          <w:szCs w:val="32"/>
        </w:rPr>
      </w:pPr>
      <w:r>
        <w:rPr>
          <w:rFonts w:hint="eastAsia" w:eastAsia="仿宋_GB2312"/>
          <w:sz w:val="32"/>
          <w:szCs w:val="32"/>
          <w:lang w:val="en-US" w:eastAsia="zh-CN"/>
        </w:rPr>
        <w:t>2.</w:t>
      </w:r>
      <w:r>
        <w:rPr>
          <w:rFonts w:eastAsia="仿宋_GB2312"/>
          <w:sz w:val="32"/>
          <w:szCs w:val="32"/>
        </w:rPr>
        <w:t>一般性转移支付收入</w:t>
      </w:r>
      <w:r>
        <w:rPr>
          <w:rFonts w:hint="eastAsia" w:eastAsia="仿宋_GB2312"/>
          <w:sz w:val="32"/>
          <w:szCs w:val="32"/>
          <w:lang w:val="en-US" w:eastAsia="zh-CN"/>
        </w:rPr>
        <w:t>11220</w:t>
      </w:r>
      <w:r>
        <w:rPr>
          <w:rFonts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86" w:lineRule="exact"/>
        <w:ind w:right="0" w:firstLine="643" w:firstLineChars="200"/>
        <w:textAlignment w:val="auto"/>
        <w:outlineLvl w:val="9"/>
        <w:rPr>
          <w:rFonts w:hint="eastAsia"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lang w:val="en-US" w:eastAsia="zh-CN"/>
        </w:rPr>
        <w:t>（二）一般公共预算支出</w:t>
      </w:r>
    </w:p>
    <w:p>
      <w:pPr>
        <w:keepNext w:val="0"/>
        <w:keepLines w:val="0"/>
        <w:pageBreakBefore w:val="0"/>
        <w:kinsoku/>
        <w:wordWrap/>
        <w:overflowPunct/>
        <w:topLinePunct w:val="0"/>
        <w:autoSpaceDE/>
        <w:autoSpaceDN/>
        <w:bidi w:val="0"/>
        <w:adjustRightInd/>
        <w:spacing w:line="608" w:lineRule="exact"/>
        <w:ind w:right="0" w:firstLine="640" w:firstLineChars="200"/>
        <w:textAlignment w:val="auto"/>
        <w:outlineLvl w:val="9"/>
        <w:rPr>
          <w:rFonts w:eastAsia="仿宋_GB2312"/>
          <w:sz w:val="32"/>
          <w:szCs w:val="32"/>
        </w:rPr>
      </w:pPr>
      <w:r>
        <w:rPr>
          <w:rFonts w:eastAsia="仿宋_GB2312"/>
          <w:sz w:val="32"/>
          <w:szCs w:val="32"/>
        </w:rPr>
        <w:t>按照收支平衡的原则，一般公共预算支出安排</w:t>
      </w:r>
      <w:r>
        <w:rPr>
          <w:rFonts w:hint="eastAsia" w:eastAsia="仿宋_GB2312"/>
          <w:sz w:val="32"/>
          <w:szCs w:val="32"/>
          <w:lang w:val="en-US" w:eastAsia="zh-CN"/>
        </w:rPr>
        <w:t>42250</w:t>
      </w:r>
      <w:r>
        <w:rPr>
          <w:rFonts w:eastAsia="仿宋_GB2312"/>
          <w:sz w:val="32"/>
          <w:szCs w:val="32"/>
        </w:rPr>
        <w:t>万元，较上年增长</w:t>
      </w:r>
      <w:r>
        <w:rPr>
          <w:rFonts w:hint="eastAsia" w:eastAsia="仿宋_GB2312"/>
          <w:sz w:val="32"/>
          <w:szCs w:val="32"/>
          <w:lang w:val="en-US" w:eastAsia="zh-CN"/>
        </w:rPr>
        <w:t>7.51</w:t>
      </w:r>
      <w:r>
        <w:rPr>
          <w:rFonts w:eastAsia="仿宋_GB2312"/>
          <w:sz w:val="32"/>
          <w:szCs w:val="32"/>
        </w:rPr>
        <w:t>%。按照支出功能分类的具体情况是：一般公共服务</w:t>
      </w:r>
      <w:r>
        <w:rPr>
          <w:rFonts w:hint="eastAsia" w:eastAsia="仿宋_GB2312"/>
          <w:sz w:val="32"/>
          <w:szCs w:val="32"/>
          <w:lang w:val="en-US" w:eastAsia="zh-CN"/>
        </w:rPr>
        <w:t>9728</w:t>
      </w:r>
      <w:r>
        <w:rPr>
          <w:rFonts w:eastAsia="仿宋_GB2312"/>
          <w:sz w:val="32"/>
          <w:szCs w:val="32"/>
        </w:rPr>
        <w:t>万元；公共安全</w:t>
      </w:r>
      <w:r>
        <w:rPr>
          <w:rFonts w:hint="eastAsia" w:eastAsia="仿宋_GB2312"/>
          <w:sz w:val="32"/>
          <w:szCs w:val="32"/>
          <w:lang w:val="en-US" w:eastAsia="zh-CN"/>
        </w:rPr>
        <w:t>1492</w:t>
      </w:r>
      <w:r>
        <w:rPr>
          <w:rFonts w:eastAsia="仿宋_GB2312"/>
          <w:sz w:val="32"/>
          <w:szCs w:val="32"/>
        </w:rPr>
        <w:t>万元；科学技术</w:t>
      </w:r>
      <w:r>
        <w:rPr>
          <w:rFonts w:hint="eastAsia" w:eastAsia="仿宋_GB2312"/>
          <w:sz w:val="32"/>
          <w:szCs w:val="32"/>
          <w:lang w:val="en-US" w:eastAsia="zh-CN"/>
        </w:rPr>
        <w:t>130</w:t>
      </w:r>
      <w:r>
        <w:rPr>
          <w:rFonts w:eastAsia="仿宋_GB2312"/>
          <w:sz w:val="32"/>
          <w:szCs w:val="32"/>
        </w:rPr>
        <w:t>万元；文化体育与传媒75</w:t>
      </w:r>
      <w:r>
        <w:rPr>
          <w:rFonts w:hint="eastAsia" w:eastAsia="仿宋_GB2312"/>
          <w:sz w:val="32"/>
          <w:szCs w:val="32"/>
          <w:lang w:val="en-US" w:eastAsia="zh-CN"/>
        </w:rPr>
        <w:t>3</w:t>
      </w:r>
      <w:r>
        <w:rPr>
          <w:rFonts w:eastAsia="仿宋_GB2312"/>
          <w:sz w:val="32"/>
          <w:szCs w:val="32"/>
        </w:rPr>
        <w:t>万元；社会保障和就业</w:t>
      </w:r>
      <w:r>
        <w:rPr>
          <w:rFonts w:hint="eastAsia" w:eastAsia="仿宋_GB2312"/>
          <w:sz w:val="32"/>
          <w:szCs w:val="32"/>
          <w:lang w:val="en-US" w:eastAsia="zh-CN"/>
        </w:rPr>
        <w:t>6109</w:t>
      </w:r>
      <w:r>
        <w:rPr>
          <w:rFonts w:eastAsia="仿宋_GB2312"/>
          <w:sz w:val="32"/>
          <w:szCs w:val="32"/>
        </w:rPr>
        <w:t>万元；医疗卫生与计划生育</w:t>
      </w:r>
      <w:r>
        <w:rPr>
          <w:rFonts w:hint="eastAsia" w:eastAsia="仿宋_GB2312"/>
          <w:sz w:val="32"/>
          <w:szCs w:val="32"/>
          <w:lang w:val="en-US" w:eastAsia="zh-CN"/>
        </w:rPr>
        <w:t>2046</w:t>
      </w:r>
      <w:r>
        <w:rPr>
          <w:rFonts w:eastAsia="仿宋_GB2312"/>
          <w:sz w:val="32"/>
          <w:szCs w:val="32"/>
        </w:rPr>
        <w:t>万元；节能环保</w:t>
      </w:r>
      <w:r>
        <w:rPr>
          <w:rFonts w:hint="eastAsia" w:eastAsia="仿宋_GB2312"/>
          <w:sz w:val="32"/>
          <w:szCs w:val="32"/>
          <w:lang w:val="en-US" w:eastAsia="zh-CN"/>
        </w:rPr>
        <w:t>1159</w:t>
      </w:r>
      <w:r>
        <w:rPr>
          <w:rFonts w:eastAsia="仿宋_GB2312"/>
          <w:sz w:val="32"/>
          <w:szCs w:val="32"/>
        </w:rPr>
        <w:t>万元；城乡社区</w:t>
      </w:r>
      <w:r>
        <w:rPr>
          <w:rFonts w:hint="eastAsia" w:eastAsia="仿宋_GB2312"/>
          <w:sz w:val="32"/>
          <w:szCs w:val="32"/>
          <w:lang w:val="en-US" w:eastAsia="zh-CN"/>
        </w:rPr>
        <w:t>2570</w:t>
      </w:r>
      <w:r>
        <w:rPr>
          <w:rFonts w:eastAsia="仿宋_GB2312"/>
          <w:sz w:val="32"/>
          <w:szCs w:val="32"/>
        </w:rPr>
        <w:t>万元；农林水13</w:t>
      </w:r>
      <w:r>
        <w:rPr>
          <w:rFonts w:hint="eastAsia" w:eastAsia="仿宋_GB2312"/>
          <w:sz w:val="32"/>
          <w:szCs w:val="32"/>
          <w:lang w:val="en-US" w:eastAsia="zh-CN"/>
        </w:rPr>
        <w:t>218</w:t>
      </w:r>
      <w:r>
        <w:rPr>
          <w:rFonts w:eastAsia="仿宋_GB2312"/>
          <w:sz w:val="32"/>
          <w:szCs w:val="32"/>
        </w:rPr>
        <w:t>万元；交通运输</w:t>
      </w:r>
      <w:r>
        <w:rPr>
          <w:rFonts w:hint="eastAsia" w:eastAsia="仿宋_GB2312"/>
          <w:sz w:val="32"/>
          <w:szCs w:val="32"/>
          <w:lang w:val="en-US" w:eastAsia="zh-CN"/>
        </w:rPr>
        <w:t>407</w:t>
      </w:r>
      <w:r>
        <w:rPr>
          <w:rFonts w:eastAsia="仿宋_GB2312"/>
          <w:sz w:val="32"/>
          <w:szCs w:val="32"/>
        </w:rPr>
        <w:t>万元；资源勘探信息64万元；国土海洋气象52万元；住房保障1309万元；粮油物资储备100万元；灾害防治及应急管理1</w:t>
      </w:r>
      <w:r>
        <w:rPr>
          <w:rFonts w:hint="eastAsia" w:eastAsia="仿宋_GB2312"/>
          <w:sz w:val="32"/>
          <w:szCs w:val="32"/>
          <w:lang w:val="en-US" w:eastAsia="zh-CN"/>
        </w:rPr>
        <w:t>3</w:t>
      </w:r>
      <w:r>
        <w:rPr>
          <w:rFonts w:eastAsia="仿宋_GB2312"/>
          <w:sz w:val="32"/>
          <w:szCs w:val="32"/>
        </w:rPr>
        <w:t>6万元；预备费</w:t>
      </w:r>
      <w:r>
        <w:rPr>
          <w:rFonts w:hint="eastAsia" w:eastAsia="仿宋_GB2312"/>
          <w:sz w:val="32"/>
          <w:szCs w:val="32"/>
          <w:lang w:val="en-US" w:eastAsia="zh-CN"/>
        </w:rPr>
        <w:t>450</w:t>
      </w:r>
      <w:r>
        <w:rPr>
          <w:rFonts w:eastAsia="仿宋_GB2312"/>
          <w:sz w:val="32"/>
          <w:szCs w:val="32"/>
        </w:rPr>
        <w:t>万元；其他支出</w:t>
      </w:r>
      <w:r>
        <w:rPr>
          <w:rFonts w:hint="eastAsia" w:eastAsia="仿宋_GB2312"/>
          <w:sz w:val="32"/>
          <w:szCs w:val="32"/>
          <w:lang w:val="en-US" w:eastAsia="zh-CN"/>
        </w:rPr>
        <w:t>557</w:t>
      </w:r>
      <w:r>
        <w:rPr>
          <w:rFonts w:eastAsia="仿宋_GB2312"/>
          <w:sz w:val="32"/>
          <w:szCs w:val="32"/>
        </w:rPr>
        <w:t>万元；债务付息支出</w:t>
      </w:r>
      <w:r>
        <w:rPr>
          <w:rFonts w:hint="eastAsia" w:eastAsia="仿宋_GB2312"/>
          <w:sz w:val="32"/>
          <w:szCs w:val="32"/>
        </w:rPr>
        <w:t>1970</w:t>
      </w:r>
      <w:r>
        <w:rPr>
          <w:rFonts w:eastAsia="仿宋_GB2312"/>
          <w:sz w:val="32"/>
          <w:szCs w:val="32"/>
        </w:rPr>
        <w:t>万元。</w:t>
      </w:r>
    </w:p>
    <w:p>
      <w:pPr>
        <w:keepNext w:val="0"/>
        <w:keepLines w:val="0"/>
        <w:pageBreakBefore w:val="0"/>
        <w:kinsoku/>
        <w:wordWrap/>
        <w:overflowPunct/>
        <w:topLinePunct w:val="0"/>
        <w:autoSpaceDE/>
        <w:autoSpaceDN/>
        <w:bidi w:val="0"/>
        <w:adjustRightInd/>
        <w:spacing w:line="608" w:lineRule="exact"/>
        <w:ind w:right="0" w:firstLine="643" w:firstLineChars="200"/>
        <w:textAlignment w:val="auto"/>
        <w:outlineLvl w:val="9"/>
        <w:rPr>
          <w:rFonts w:eastAsia="仿宋_GB2312"/>
          <w:sz w:val="32"/>
          <w:szCs w:val="32"/>
        </w:rPr>
      </w:pPr>
      <w:r>
        <w:rPr>
          <w:rFonts w:hint="eastAsia" w:eastAsia="仿宋_GB2312"/>
          <w:b/>
          <w:sz w:val="32"/>
          <w:szCs w:val="32"/>
        </w:rPr>
        <w:t>1</w:t>
      </w:r>
      <w:r>
        <w:rPr>
          <w:rFonts w:hint="eastAsia" w:eastAsia="仿宋_GB2312"/>
          <w:b/>
          <w:sz w:val="32"/>
          <w:szCs w:val="32"/>
          <w:lang w:val="en-US" w:eastAsia="zh-CN"/>
        </w:rPr>
        <w:t>.</w:t>
      </w:r>
      <w:r>
        <w:rPr>
          <w:rFonts w:eastAsia="仿宋_GB2312"/>
          <w:b/>
          <w:sz w:val="32"/>
          <w:szCs w:val="32"/>
        </w:rPr>
        <w:t>基本支出：</w:t>
      </w:r>
      <w:r>
        <w:rPr>
          <w:rFonts w:eastAsia="仿宋_GB2312"/>
          <w:sz w:val="32"/>
          <w:szCs w:val="32"/>
        </w:rPr>
        <w:t>安排</w:t>
      </w:r>
      <w:r>
        <w:rPr>
          <w:rFonts w:hint="eastAsia" w:eastAsia="仿宋_GB2312"/>
          <w:sz w:val="32"/>
          <w:szCs w:val="32"/>
          <w:lang w:eastAsia="zh-CN"/>
        </w:rPr>
        <w:t>资金</w:t>
      </w:r>
      <w:r>
        <w:rPr>
          <w:rFonts w:hint="eastAsia" w:eastAsia="仿宋_GB2312"/>
          <w:sz w:val="32"/>
          <w:szCs w:val="32"/>
          <w:lang w:val="en-US" w:eastAsia="zh-CN"/>
        </w:rPr>
        <w:t>23250</w:t>
      </w:r>
      <w:r>
        <w:rPr>
          <w:rFonts w:eastAsia="仿宋_GB2312"/>
          <w:sz w:val="32"/>
          <w:szCs w:val="32"/>
        </w:rPr>
        <w:t>万元</w:t>
      </w:r>
      <w:r>
        <w:rPr>
          <w:rFonts w:eastAsia="仿宋_GB2312"/>
        </w:rPr>
        <w:t>，</w:t>
      </w:r>
      <w:r>
        <w:rPr>
          <w:rFonts w:eastAsia="仿宋_GB2312"/>
          <w:sz w:val="32"/>
          <w:szCs w:val="32"/>
        </w:rPr>
        <w:t>主要用于预算单位（含乡镇）人员工资福利和按定额标准安排的单位基本公用经费。具体为：</w:t>
      </w:r>
    </w:p>
    <w:p>
      <w:pPr>
        <w:keepNext w:val="0"/>
        <w:keepLines w:val="0"/>
        <w:pageBreakBefore w:val="0"/>
        <w:kinsoku/>
        <w:wordWrap/>
        <w:overflowPunct/>
        <w:topLinePunct w:val="0"/>
        <w:autoSpaceDE/>
        <w:autoSpaceDN/>
        <w:bidi w:val="0"/>
        <w:adjustRightInd/>
        <w:spacing w:line="608" w:lineRule="exact"/>
        <w:ind w:right="0" w:firstLine="640" w:firstLineChars="200"/>
        <w:textAlignment w:val="auto"/>
        <w:outlineLvl w:val="9"/>
        <w:rPr>
          <w:rFonts w:eastAsia="仿宋_GB2312"/>
          <w:sz w:val="32"/>
          <w:szCs w:val="32"/>
        </w:rPr>
      </w:pP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1）</w:t>
      </w:r>
      <w:r>
        <w:rPr>
          <w:rFonts w:eastAsia="仿宋_GB2312"/>
          <w:sz w:val="32"/>
          <w:szCs w:val="32"/>
        </w:rPr>
        <w:t>人员工资福利支出2</w:t>
      </w:r>
      <w:r>
        <w:rPr>
          <w:rFonts w:hint="eastAsia" w:eastAsia="仿宋_GB2312"/>
          <w:sz w:val="32"/>
          <w:szCs w:val="32"/>
          <w:lang w:val="en-US" w:eastAsia="zh-CN"/>
        </w:rPr>
        <w:t>0147</w:t>
      </w:r>
      <w:r>
        <w:rPr>
          <w:rFonts w:eastAsia="仿宋_GB2312"/>
          <w:sz w:val="32"/>
          <w:szCs w:val="32"/>
        </w:rPr>
        <w:t>万元，包括行政事业单位在职及离休人员工资，社区、村干部工资，村监会成员补贴等。</w:t>
      </w:r>
    </w:p>
    <w:p>
      <w:pPr>
        <w:keepNext w:val="0"/>
        <w:keepLines w:val="0"/>
        <w:pageBreakBefore w:val="0"/>
        <w:kinsoku/>
        <w:wordWrap/>
        <w:overflowPunct/>
        <w:topLinePunct w:val="0"/>
        <w:autoSpaceDE/>
        <w:autoSpaceDN/>
        <w:bidi w:val="0"/>
        <w:adjustRightInd/>
        <w:spacing w:line="608" w:lineRule="exact"/>
        <w:ind w:right="0" w:firstLine="640" w:firstLineChars="200"/>
        <w:textAlignment w:val="auto"/>
        <w:outlineLvl w:val="9"/>
        <w:rPr>
          <w:rFonts w:eastAsia="仿宋_GB2312"/>
          <w:sz w:val="32"/>
          <w:szCs w:val="32"/>
        </w:rPr>
      </w:pP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2）</w:t>
      </w:r>
      <w:r>
        <w:rPr>
          <w:rFonts w:eastAsia="仿宋_GB2312"/>
          <w:sz w:val="32"/>
          <w:szCs w:val="32"/>
        </w:rPr>
        <w:t>基本公用支出2555万元，包括行政事业单位公用经费、车辆运行费和办公取暖费，社区、村及村监会办公经费等。</w:t>
      </w:r>
    </w:p>
    <w:p>
      <w:pPr>
        <w:keepNext w:val="0"/>
        <w:keepLines w:val="0"/>
        <w:pageBreakBefore w:val="0"/>
        <w:kinsoku/>
        <w:wordWrap/>
        <w:overflowPunct/>
        <w:topLinePunct w:val="0"/>
        <w:autoSpaceDE/>
        <w:autoSpaceDN/>
        <w:bidi w:val="0"/>
        <w:adjustRightInd/>
        <w:spacing w:line="608" w:lineRule="exact"/>
        <w:ind w:right="0" w:firstLine="640" w:firstLineChars="200"/>
        <w:textAlignment w:val="auto"/>
        <w:outlineLvl w:val="9"/>
        <w:rPr>
          <w:rFonts w:eastAsia="仿宋_GB2312"/>
          <w:sz w:val="32"/>
          <w:szCs w:val="32"/>
        </w:rPr>
      </w:pP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3）</w:t>
      </w:r>
      <w:r>
        <w:rPr>
          <w:rFonts w:eastAsia="仿宋_GB2312"/>
          <w:sz w:val="32"/>
          <w:szCs w:val="32"/>
        </w:rPr>
        <w:t>财政预留人员支出</w:t>
      </w:r>
      <w:r>
        <w:rPr>
          <w:rFonts w:hint="eastAsia" w:eastAsia="仿宋_GB2312"/>
          <w:sz w:val="32"/>
          <w:szCs w:val="32"/>
          <w:lang w:val="en-US" w:eastAsia="zh-CN"/>
        </w:rPr>
        <w:t>548</w:t>
      </w:r>
      <w:r>
        <w:rPr>
          <w:rFonts w:eastAsia="仿宋_GB2312"/>
          <w:sz w:val="32"/>
          <w:szCs w:val="32"/>
        </w:rPr>
        <w:t>万元，包括未休年休假补贴、住房补贴、新招录人员工资</w:t>
      </w:r>
      <w:r>
        <w:rPr>
          <w:rFonts w:hint="eastAsia" w:eastAsia="仿宋_GB2312"/>
          <w:sz w:val="32"/>
          <w:szCs w:val="32"/>
          <w:lang w:eastAsia="zh-CN"/>
        </w:rPr>
        <w:t>、事业单位公车改革交通补贴及实报实销交通费</w:t>
      </w:r>
      <w:r>
        <w:rPr>
          <w:rFonts w:eastAsia="仿宋_GB2312"/>
          <w:sz w:val="32"/>
          <w:szCs w:val="32"/>
        </w:rPr>
        <w:t>等。</w:t>
      </w:r>
    </w:p>
    <w:p>
      <w:pPr>
        <w:keepNext w:val="0"/>
        <w:keepLines w:val="0"/>
        <w:pageBreakBefore w:val="0"/>
        <w:kinsoku/>
        <w:wordWrap/>
        <w:overflowPunct/>
        <w:topLinePunct w:val="0"/>
        <w:autoSpaceDE/>
        <w:autoSpaceDN/>
        <w:bidi w:val="0"/>
        <w:adjustRightInd/>
        <w:spacing w:line="608" w:lineRule="exact"/>
        <w:ind w:right="0" w:firstLine="643" w:firstLineChars="200"/>
        <w:textAlignment w:val="auto"/>
        <w:outlineLvl w:val="9"/>
        <w:rPr>
          <w:rFonts w:eastAsia="仿宋_GB2312"/>
          <w:sz w:val="32"/>
          <w:szCs w:val="32"/>
        </w:rPr>
      </w:pPr>
      <w:r>
        <w:rPr>
          <w:rFonts w:hint="eastAsia" w:eastAsia="仿宋_GB2312"/>
          <w:b/>
          <w:sz w:val="32"/>
          <w:szCs w:val="32"/>
          <w:lang w:val="en-US" w:eastAsia="zh-CN"/>
        </w:rPr>
        <w:t>2.</w:t>
      </w:r>
      <w:r>
        <w:rPr>
          <w:rFonts w:eastAsia="仿宋_GB2312"/>
          <w:b/>
          <w:sz w:val="32"/>
          <w:szCs w:val="32"/>
        </w:rPr>
        <w:t>项目支出：</w:t>
      </w:r>
      <w:r>
        <w:rPr>
          <w:rFonts w:eastAsia="仿宋_GB2312"/>
          <w:sz w:val="32"/>
          <w:szCs w:val="32"/>
        </w:rPr>
        <w:t>安排</w:t>
      </w:r>
      <w:r>
        <w:rPr>
          <w:rFonts w:hint="eastAsia" w:eastAsia="仿宋_GB2312"/>
          <w:sz w:val="32"/>
          <w:szCs w:val="32"/>
          <w:lang w:eastAsia="zh-CN"/>
        </w:rPr>
        <w:t>资金</w:t>
      </w:r>
      <w:r>
        <w:rPr>
          <w:rFonts w:hint="eastAsia" w:eastAsia="仿宋_GB2312"/>
          <w:sz w:val="32"/>
          <w:szCs w:val="32"/>
          <w:lang w:val="en-US" w:eastAsia="zh-CN"/>
        </w:rPr>
        <w:t>19000</w:t>
      </w:r>
      <w:r>
        <w:rPr>
          <w:rFonts w:eastAsia="仿宋_GB2312"/>
          <w:sz w:val="32"/>
          <w:szCs w:val="32"/>
        </w:rPr>
        <w:t>万元，主要用于保障各单位履行职责、行政职能必需的基本业务费和区级重点会议，以及社会管理和事业发展方面必需的项目经费。</w:t>
      </w:r>
    </w:p>
    <w:p>
      <w:pPr>
        <w:keepNext w:val="0"/>
        <w:keepLines w:val="0"/>
        <w:pageBreakBefore w:val="0"/>
        <w:kinsoku/>
        <w:wordWrap/>
        <w:overflowPunct/>
        <w:topLinePunct w:val="0"/>
        <w:autoSpaceDE/>
        <w:autoSpaceDN/>
        <w:bidi w:val="0"/>
        <w:adjustRightInd/>
        <w:spacing w:line="608" w:lineRule="exact"/>
        <w:ind w:right="0" w:firstLine="640" w:firstLineChars="200"/>
        <w:textAlignment w:val="auto"/>
        <w:outlineLvl w:val="9"/>
        <w:rPr>
          <w:rFonts w:eastAsia="仿宋_GB2312"/>
          <w:sz w:val="32"/>
          <w:szCs w:val="32"/>
        </w:rPr>
      </w:pP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1）</w:t>
      </w:r>
      <w:r>
        <w:rPr>
          <w:rFonts w:eastAsia="仿宋_GB2312"/>
          <w:sz w:val="32"/>
          <w:szCs w:val="32"/>
        </w:rPr>
        <w:t>安排公共管理类项目支出</w:t>
      </w:r>
      <w:r>
        <w:rPr>
          <w:rFonts w:hint="eastAsia" w:eastAsia="仿宋_GB2312"/>
          <w:sz w:val="32"/>
          <w:szCs w:val="32"/>
          <w:lang w:val="en-US" w:eastAsia="zh-CN"/>
        </w:rPr>
        <w:t>7934</w:t>
      </w:r>
      <w:r>
        <w:rPr>
          <w:rFonts w:eastAsia="仿宋_GB2312"/>
          <w:sz w:val="32"/>
          <w:szCs w:val="32"/>
        </w:rPr>
        <w:t>万元，</w:t>
      </w:r>
      <w:r>
        <w:rPr>
          <w:rFonts w:eastAsia="仿宋_GB2312"/>
          <w:bCs/>
          <w:sz w:val="32"/>
          <w:szCs w:val="32"/>
        </w:rPr>
        <w:t>包括</w:t>
      </w:r>
      <w:r>
        <w:rPr>
          <w:rFonts w:eastAsia="仿宋_GB2312"/>
          <w:sz w:val="32"/>
          <w:szCs w:val="32"/>
        </w:rPr>
        <w:t>党委、人大、政府、政协四套班子</w:t>
      </w:r>
      <w:r>
        <w:rPr>
          <w:rFonts w:hint="eastAsia" w:eastAsia="仿宋_GB2312"/>
          <w:sz w:val="32"/>
          <w:szCs w:val="32"/>
          <w:lang w:eastAsia="zh-CN"/>
        </w:rPr>
        <w:t>及</w:t>
      </w:r>
      <w:r>
        <w:rPr>
          <w:rFonts w:eastAsia="仿宋_GB2312"/>
          <w:sz w:val="32"/>
          <w:szCs w:val="32"/>
        </w:rPr>
        <w:t>其他部门专项业务费，以及基层党建、信访维稳、电子政务外网运行维护、禁毒专干工资及禁毒经费、社区警务改革与创新治安防控体系建设、普法、社区矫正、安置帮扶、招商引资、农业普查、文明城市创建、人才发展、拥军优属、城管执法、税收征管、债务付息、农村基层党组织为民服务、泵站运行及水利设施维护等。</w:t>
      </w:r>
    </w:p>
    <w:p>
      <w:pPr>
        <w:keepNext w:val="0"/>
        <w:keepLines w:val="0"/>
        <w:pageBreakBefore w:val="0"/>
        <w:kinsoku/>
        <w:wordWrap/>
        <w:overflowPunct/>
        <w:topLinePunct w:val="0"/>
        <w:autoSpaceDE/>
        <w:autoSpaceDN/>
        <w:bidi w:val="0"/>
        <w:adjustRightInd/>
        <w:spacing w:line="608" w:lineRule="exact"/>
        <w:ind w:right="0" w:firstLine="640" w:firstLineChars="200"/>
        <w:textAlignment w:val="auto"/>
        <w:outlineLvl w:val="9"/>
        <w:rPr>
          <w:rFonts w:eastAsia="仿宋_GB2312"/>
          <w:sz w:val="32"/>
          <w:szCs w:val="32"/>
        </w:rPr>
      </w:pP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2）</w:t>
      </w:r>
      <w:r>
        <w:rPr>
          <w:rFonts w:eastAsia="仿宋_GB2312"/>
          <w:sz w:val="32"/>
          <w:szCs w:val="32"/>
        </w:rPr>
        <w:t>安排社会（民生）服务类项目支出</w:t>
      </w:r>
      <w:r>
        <w:rPr>
          <w:rFonts w:hint="eastAsia" w:eastAsia="仿宋_GB2312"/>
          <w:sz w:val="32"/>
          <w:szCs w:val="32"/>
          <w:lang w:val="en-US" w:eastAsia="zh-CN"/>
        </w:rPr>
        <w:t>4593</w:t>
      </w:r>
      <w:r>
        <w:rPr>
          <w:rFonts w:eastAsia="仿宋_GB2312"/>
          <w:sz w:val="32"/>
          <w:szCs w:val="32"/>
        </w:rPr>
        <w:t>万元，主要保障城乡居民最低生活保障、重度残疾、五保供养、孤儿养育津贴、义务兵家庭、困难群众殡葬、城乡医疗救助、独生子女保健、少生快富、全民健身、城乡老饭桌运营、“三支一扶”人员补助、落实民生实事及人大政协议案提案办理等民生类项目政策的落实。</w:t>
      </w:r>
    </w:p>
    <w:p>
      <w:pPr>
        <w:keepNext w:val="0"/>
        <w:keepLines w:val="0"/>
        <w:pageBreakBefore w:val="0"/>
        <w:kinsoku/>
        <w:wordWrap/>
        <w:overflowPunct/>
        <w:topLinePunct w:val="0"/>
        <w:autoSpaceDE/>
        <w:autoSpaceDN/>
        <w:bidi w:val="0"/>
        <w:adjustRightInd/>
        <w:spacing w:line="608" w:lineRule="exact"/>
        <w:ind w:right="0" w:firstLine="640" w:firstLineChars="200"/>
        <w:textAlignment w:val="auto"/>
        <w:outlineLvl w:val="9"/>
        <w:rPr>
          <w:rFonts w:eastAsia="仿宋_GB2312"/>
          <w:sz w:val="32"/>
          <w:szCs w:val="32"/>
        </w:rPr>
      </w:pP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3）</w:t>
      </w:r>
      <w:r>
        <w:rPr>
          <w:rFonts w:eastAsia="仿宋_GB2312"/>
          <w:sz w:val="32"/>
          <w:szCs w:val="32"/>
        </w:rPr>
        <w:t>安排农业及农村类项目支出</w:t>
      </w:r>
      <w:r>
        <w:rPr>
          <w:rFonts w:hint="eastAsia" w:eastAsia="仿宋_GB2312"/>
          <w:sz w:val="32"/>
          <w:szCs w:val="32"/>
          <w:lang w:val="en-US" w:eastAsia="zh-CN"/>
        </w:rPr>
        <w:t>6023</w:t>
      </w:r>
      <w:r>
        <w:rPr>
          <w:rFonts w:eastAsia="仿宋_GB2312"/>
          <w:sz w:val="32"/>
          <w:szCs w:val="32"/>
        </w:rPr>
        <w:t>万元，支持农田水利基本建设、脱贫攻坚、农村环境卫生、河长制巡查保洁、农村污水处理设施运行维护、农村环境示范区创建、农村公路养护、全域旅游及乡村旅游、春季绿化植树、政策性农业保险、优势特色产业发展及贴息、农村危房改造、城市水系补水、农业科技、粮油储备、动物检疫防疫、“三大三强”村级活动场所建设</w:t>
      </w:r>
      <w:r>
        <w:rPr>
          <w:rFonts w:hint="eastAsia" w:eastAsia="仿宋_GB2312"/>
          <w:sz w:val="32"/>
          <w:szCs w:val="32"/>
        </w:rPr>
        <w:t>、村集体经济发展等</w:t>
      </w:r>
      <w:r>
        <w:rPr>
          <w:rFonts w:eastAsia="仿宋_GB2312"/>
          <w:sz w:val="32"/>
          <w:szCs w:val="32"/>
        </w:rPr>
        <w:t>。</w:t>
      </w:r>
    </w:p>
    <w:p>
      <w:pPr>
        <w:keepNext w:val="0"/>
        <w:keepLines w:val="0"/>
        <w:pageBreakBefore w:val="0"/>
        <w:kinsoku/>
        <w:wordWrap/>
        <w:overflowPunct/>
        <w:topLinePunct w:val="0"/>
        <w:autoSpaceDE/>
        <w:autoSpaceDN/>
        <w:bidi w:val="0"/>
        <w:adjustRightInd/>
        <w:spacing w:line="608" w:lineRule="exact"/>
        <w:ind w:right="0" w:firstLine="640" w:firstLineChars="200"/>
        <w:textAlignment w:val="auto"/>
        <w:outlineLvl w:val="9"/>
        <w:rPr>
          <w:rFonts w:eastAsia="仿宋_GB2312"/>
          <w:sz w:val="32"/>
          <w:szCs w:val="32"/>
        </w:rPr>
      </w:pP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4）</w:t>
      </w:r>
      <w:r>
        <w:rPr>
          <w:rFonts w:eastAsia="仿宋_GB2312"/>
          <w:sz w:val="32"/>
          <w:szCs w:val="32"/>
        </w:rPr>
        <w:t>设置预备费</w:t>
      </w:r>
      <w:r>
        <w:rPr>
          <w:rFonts w:hint="eastAsia" w:eastAsia="仿宋_GB2312"/>
          <w:sz w:val="32"/>
          <w:szCs w:val="32"/>
          <w:lang w:val="en-US" w:eastAsia="zh-CN"/>
        </w:rPr>
        <w:t>450</w:t>
      </w:r>
      <w:r>
        <w:rPr>
          <w:rFonts w:eastAsia="仿宋_GB2312"/>
          <w:sz w:val="32"/>
          <w:szCs w:val="32"/>
        </w:rPr>
        <w:t>万元，用于保障年度预算执行中的自然灾害等突发事件处理增加的支出及其他难以预见的开支。</w:t>
      </w:r>
    </w:p>
    <w:p>
      <w:pPr>
        <w:keepNext w:val="0"/>
        <w:keepLines w:val="0"/>
        <w:pageBreakBefore w:val="0"/>
        <w:kinsoku/>
        <w:wordWrap/>
        <w:overflowPunct/>
        <w:topLinePunct w:val="0"/>
        <w:autoSpaceDE/>
        <w:autoSpaceDN/>
        <w:bidi w:val="0"/>
        <w:adjustRightInd/>
        <w:spacing w:line="608" w:lineRule="exact"/>
        <w:ind w:right="0" w:firstLine="640" w:firstLineChars="200"/>
        <w:textAlignment w:val="auto"/>
        <w:outlineLvl w:val="9"/>
        <w:rPr>
          <w:rFonts w:eastAsia="黑体"/>
          <w:sz w:val="32"/>
          <w:szCs w:val="32"/>
        </w:rPr>
      </w:pPr>
      <w:r>
        <w:rPr>
          <w:rFonts w:eastAsia="黑体"/>
          <w:sz w:val="32"/>
          <w:szCs w:val="32"/>
        </w:rPr>
        <w:t>三、完成2019年财政预算任务的主要措施</w:t>
      </w:r>
    </w:p>
    <w:p>
      <w:pPr>
        <w:pStyle w:val="6"/>
        <w:keepNext w:val="0"/>
        <w:keepLines w:val="0"/>
        <w:pageBreakBefore w:val="0"/>
        <w:kinsoku/>
        <w:wordWrap/>
        <w:overflowPunct/>
        <w:topLinePunct w:val="0"/>
        <w:autoSpaceDE/>
        <w:autoSpaceDN/>
        <w:bidi w:val="0"/>
        <w:adjustRightInd/>
        <w:spacing w:before="0" w:beforeAutospacing="0" w:after="0" w:afterAutospacing="0" w:line="608" w:lineRule="exact"/>
        <w:ind w:right="0" w:firstLine="640" w:firstLineChars="200"/>
        <w:jc w:val="both"/>
        <w:textAlignment w:val="auto"/>
        <w:outlineLvl w:val="9"/>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2019年，我们将围绕区委、政府确定的重点工作，加快推进财政改革与发展，力争在以下四个方面取得新的成效：</w:t>
      </w:r>
    </w:p>
    <w:p>
      <w:pPr>
        <w:keepNext w:val="0"/>
        <w:keepLines w:val="0"/>
        <w:pageBreakBefore w:val="0"/>
        <w:kinsoku/>
        <w:wordWrap/>
        <w:overflowPunct/>
        <w:topLinePunct w:val="0"/>
        <w:autoSpaceDE/>
        <w:autoSpaceDN/>
        <w:bidi w:val="0"/>
        <w:adjustRightInd/>
        <w:spacing w:line="608" w:lineRule="exact"/>
        <w:ind w:right="0" w:firstLine="643" w:firstLineChars="200"/>
        <w:textAlignment w:val="auto"/>
        <w:outlineLvl w:val="9"/>
        <w:rPr>
          <w:rFonts w:eastAsia="仿宋_GB2312"/>
          <w:sz w:val="32"/>
          <w:szCs w:val="32"/>
        </w:rPr>
      </w:pPr>
      <w:r>
        <w:rPr>
          <w:rFonts w:hint="eastAsia" w:ascii="楷体_GB2312" w:hAnsi="楷体_GB2312" w:eastAsia="楷体_GB2312" w:cs="楷体_GB2312"/>
          <w:b/>
          <w:sz w:val="32"/>
          <w:szCs w:val="32"/>
        </w:rPr>
        <w:t>（一）强化收入征管，着力壮大财政实力。</w:t>
      </w:r>
      <w:r>
        <w:rPr>
          <w:rFonts w:eastAsia="仿宋_GB2312"/>
          <w:b w:val="0"/>
          <w:bCs w:val="0"/>
          <w:sz w:val="32"/>
          <w:szCs w:val="32"/>
          <w:shd w:val="clear" w:color="auto" w:fill="FFFFFF"/>
        </w:rPr>
        <w:t>一是正</w:t>
      </w:r>
      <w:r>
        <w:rPr>
          <w:rFonts w:eastAsia="仿宋_GB2312"/>
          <w:sz w:val="32"/>
          <w:szCs w:val="32"/>
          <w:shd w:val="clear" w:color="auto" w:fill="FFFFFF"/>
        </w:rPr>
        <w:t>确处理减税降费与依法组织收入的关系，强化财税协同配合，协调税务部门积极落实全年税收收入预算。同时，进一步落实措施，挖掘非税收入增收潜力，</w:t>
      </w:r>
      <w:r>
        <w:rPr>
          <w:rFonts w:eastAsia="仿宋_GB2312"/>
          <w:sz w:val="32"/>
          <w:szCs w:val="32"/>
        </w:rPr>
        <w:t>确保完成一般公共预算收入</w:t>
      </w:r>
      <w:r>
        <w:rPr>
          <w:rFonts w:hint="eastAsia" w:eastAsia="仿宋_GB2312"/>
          <w:sz w:val="32"/>
          <w:szCs w:val="32"/>
          <w:lang w:eastAsia="zh-CN"/>
        </w:rPr>
        <w:t>同口径</w:t>
      </w:r>
      <w:r>
        <w:rPr>
          <w:rFonts w:eastAsia="仿宋_GB2312"/>
          <w:sz w:val="32"/>
          <w:szCs w:val="32"/>
        </w:rPr>
        <w:t>增长</w:t>
      </w:r>
      <w:r>
        <w:rPr>
          <w:rFonts w:hint="eastAsia" w:eastAsia="仿宋_GB2312"/>
          <w:sz w:val="32"/>
          <w:szCs w:val="32"/>
          <w:lang w:val="en-US" w:eastAsia="zh-CN"/>
        </w:rPr>
        <w:t>8</w:t>
      </w:r>
      <w:r>
        <w:rPr>
          <w:rFonts w:eastAsia="仿宋_GB2312"/>
          <w:sz w:val="32"/>
          <w:szCs w:val="32"/>
        </w:rPr>
        <w:t>%的任务。</w:t>
      </w:r>
      <w:r>
        <w:rPr>
          <w:rFonts w:eastAsia="仿宋_GB2312"/>
          <w:b w:val="0"/>
          <w:bCs w:val="0"/>
          <w:sz w:val="32"/>
          <w:szCs w:val="32"/>
        </w:rPr>
        <w:t>二是大</w:t>
      </w:r>
      <w:r>
        <w:rPr>
          <w:rFonts w:eastAsia="仿宋_GB2312"/>
          <w:sz w:val="32"/>
          <w:szCs w:val="32"/>
        </w:rPr>
        <w:t>力争取项目资金。</w:t>
      </w:r>
      <w:r>
        <w:rPr>
          <w:rFonts w:eastAsia="仿宋_GB2312"/>
          <w:bCs/>
          <w:sz w:val="32"/>
          <w:szCs w:val="32"/>
        </w:rPr>
        <w:t>聚焦国家实施乡村振兴战略和自治区实施“创新驱动、生态立区、脱贫富民”三大战略等政策机遇，</w:t>
      </w:r>
      <w:r>
        <w:rPr>
          <w:rFonts w:eastAsia="仿宋_GB2312"/>
          <w:sz w:val="32"/>
          <w:szCs w:val="32"/>
        </w:rPr>
        <w:t>积极捕捉信息，谋划</w:t>
      </w:r>
      <w:r>
        <w:rPr>
          <w:rFonts w:hint="eastAsia" w:eastAsia="仿宋_GB2312"/>
          <w:sz w:val="32"/>
          <w:szCs w:val="32"/>
          <w:lang w:eastAsia="zh-CN"/>
        </w:rPr>
        <w:t>项目</w:t>
      </w:r>
      <w:r>
        <w:rPr>
          <w:rFonts w:eastAsia="仿宋_GB2312"/>
          <w:sz w:val="32"/>
          <w:szCs w:val="32"/>
        </w:rPr>
        <w:t>争取</w:t>
      </w:r>
      <w:r>
        <w:rPr>
          <w:rFonts w:hint="eastAsia" w:eastAsia="仿宋_GB2312"/>
          <w:sz w:val="32"/>
          <w:szCs w:val="32"/>
          <w:lang w:eastAsia="zh-CN"/>
        </w:rPr>
        <w:t>资金</w:t>
      </w:r>
      <w:r>
        <w:rPr>
          <w:rFonts w:eastAsia="仿宋_GB2312"/>
          <w:sz w:val="32"/>
          <w:szCs w:val="32"/>
        </w:rPr>
        <w:t>，</w:t>
      </w:r>
      <w:r>
        <w:rPr>
          <w:rFonts w:hint="eastAsia" w:eastAsia="仿宋_GB2312"/>
          <w:sz w:val="32"/>
          <w:szCs w:val="32"/>
          <w:lang w:eastAsia="zh-CN"/>
        </w:rPr>
        <w:t>支持沙坡头区重点项目顺利实施</w:t>
      </w:r>
      <w:r>
        <w:rPr>
          <w:rFonts w:eastAsia="仿宋_GB2312"/>
          <w:sz w:val="32"/>
          <w:szCs w:val="32"/>
        </w:rPr>
        <w:t>。</w:t>
      </w:r>
      <w:r>
        <w:rPr>
          <w:rFonts w:eastAsia="仿宋_GB2312"/>
          <w:b w:val="0"/>
          <w:bCs w:val="0"/>
          <w:sz w:val="32"/>
          <w:szCs w:val="32"/>
        </w:rPr>
        <w:t>三是重</w:t>
      </w:r>
      <w:r>
        <w:rPr>
          <w:rFonts w:eastAsia="仿宋_GB2312"/>
          <w:sz w:val="32"/>
          <w:szCs w:val="32"/>
        </w:rPr>
        <w:t>点抓好村级公益事业建设“一事一议”财政奖补项目、扶持壮大村集体经济项目、地方政府新增债券等资金争取工作。</w:t>
      </w:r>
    </w:p>
    <w:p>
      <w:pPr>
        <w:keepNext w:val="0"/>
        <w:keepLines w:val="0"/>
        <w:pageBreakBefore w:val="0"/>
        <w:kinsoku/>
        <w:wordWrap/>
        <w:overflowPunct/>
        <w:topLinePunct w:val="0"/>
        <w:autoSpaceDE/>
        <w:autoSpaceDN/>
        <w:bidi w:val="0"/>
        <w:adjustRightInd/>
        <w:spacing w:line="608" w:lineRule="exact"/>
        <w:ind w:right="0" w:firstLine="643" w:firstLineChars="200"/>
        <w:textAlignment w:val="auto"/>
        <w:outlineLvl w:val="9"/>
        <w:rPr>
          <w:rFonts w:eastAsia="仿宋_GB2312"/>
          <w:sz w:val="32"/>
          <w:szCs w:val="32"/>
          <w:shd w:val="clear" w:color="auto" w:fill="FFFFFF"/>
        </w:rPr>
      </w:pPr>
      <w:r>
        <w:rPr>
          <w:rFonts w:hint="eastAsia" w:ascii="楷体_GB2312" w:hAnsi="楷体_GB2312" w:eastAsia="楷体_GB2312" w:cs="楷体_GB2312"/>
          <w:b/>
          <w:sz w:val="32"/>
          <w:szCs w:val="32"/>
        </w:rPr>
        <w:t>（二）强化预算执行，着力提高资金效益。</w:t>
      </w:r>
      <w:r>
        <w:rPr>
          <w:rFonts w:eastAsia="仿宋_GB2312"/>
          <w:b w:val="0"/>
          <w:bCs w:val="0"/>
          <w:sz w:val="32"/>
          <w:szCs w:val="32"/>
        </w:rPr>
        <w:t>一是牢固树立过紧日子的思想，大力压减一般性支出，从严控制“三公”经费，降低行政运行成本。二是加快预算执行进度，通过采取</w:t>
      </w:r>
      <w:r>
        <w:rPr>
          <w:rFonts w:hint="eastAsia" w:eastAsia="仿宋_GB2312"/>
          <w:b w:val="0"/>
          <w:bCs w:val="0"/>
          <w:sz w:val="32"/>
          <w:szCs w:val="32"/>
        </w:rPr>
        <w:t>专家</w:t>
      </w:r>
      <w:r>
        <w:rPr>
          <w:rFonts w:eastAsia="仿宋_GB2312"/>
          <w:b w:val="0"/>
          <w:bCs w:val="0"/>
          <w:sz w:val="32"/>
          <w:szCs w:val="32"/>
        </w:rPr>
        <w:t>论证、</w:t>
      </w:r>
      <w:r>
        <w:rPr>
          <w:rFonts w:hint="eastAsia" w:eastAsia="仿宋_GB2312"/>
          <w:b w:val="0"/>
          <w:bCs w:val="0"/>
          <w:sz w:val="32"/>
          <w:szCs w:val="32"/>
        </w:rPr>
        <w:t>提前立项、及早开工、</w:t>
      </w:r>
      <w:r>
        <w:rPr>
          <w:rFonts w:eastAsia="仿宋_GB2312"/>
          <w:b w:val="0"/>
          <w:bCs w:val="0"/>
          <w:sz w:val="32"/>
          <w:szCs w:val="32"/>
        </w:rPr>
        <w:t>加快项目实施</w:t>
      </w:r>
      <w:r>
        <w:rPr>
          <w:rFonts w:hint="eastAsia" w:eastAsia="仿宋_GB2312"/>
          <w:b w:val="0"/>
          <w:bCs w:val="0"/>
          <w:sz w:val="32"/>
          <w:szCs w:val="32"/>
        </w:rPr>
        <w:t>进度</w:t>
      </w:r>
      <w:r>
        <w:rPr>
          <w:rFonts w:eastAsia="仿宋_GB2312"/>
          <w:b w:val="0"/>
          <w:bCs w:val="0"/>
          <w:sz w:val="32"/>
          <w:szCs w:val="32"/>
        </w:rPr>
        <w:t>等措施，避免“资金等项目”问题。对预算执行进度缓慢的资金，及时调整用途</w:t>
      </w:r>
      <w:r>
        <w:rPr>
          <w:rFonts w:hint="eastAsia" w:eastAsia="仿宋_GB2312"/>
          <w:b w:val="0"/>
          <w:bCs w:val="0"/>
          <w:sz w:val="32"/>
          <w:szCs w:val="32"/>
        </w:rPr>
        <w:t>进行整合，</w:t>
      </w:r>
      <w:r>
        <w:rPr>
          <w:rFonts w:eastAsia="仿宋_GB2312"/>
          <w:b w:val="0"/>
          <w:bCs w:val="0"/>
          <w:sz w:val="32"/>
          <w:szCs w:val="32"/>
        </w:rPr>
        <w:t>避免资金沉淀，提高支出效率。三是加快推进财政预算绩效管理改革，探索</w:t>
      </w:r>
      <w:r>
        <w:rPr>
          <w:rFonts w:hint="eastAsia" w:eastAsia="仿宋_GB2312"/>
          <w:b w:val="0"/>
          <w:bCs w:val="0"/>
          <w:sz w:val="32"/>
          <w:szCs w:val="32"/>
        </w:rPr>
        <w:t>建立年初制定</w:t>
      </w:r>
      <w:r>
        <w:rPr>
          <w:rFonts w:eastAsia="仿宋_GB2312"/>
          <w:b w:val="0"/>
          <w:bCs w:val="0"/>
          <w:sz w:val="32"/>
          <w:szCs w:val="32"/>
        </w:rPr>
        <w:t>绩效目标、</w:t>
      </w:r>
      <w:r>
        <w:rPr>
          <w:rFonts w:hint="eastAsia" w:eastAsia="仿宋_GB2312"/>
          <w:b w:val="0"/>
          <w:bCs w:val="0"/>
          <w:sz w:val="32"/>
          <w:szCs w:val="32"/>
        </w:rPr>
        <w:t>年中追踪绩效执行</w:t>
      </w:r>
      <w:r>
        <w:rPr>
          <w:rFonts w:hint="eastAsia" w:eastAsia="仿宋_GB2312"/>
          <w:sz w:val="32"/>
          <w:szCs w:val="32"/>
        </w:rPr>
        <w:t>、年底进行</w:t>
      </w:r>
      <w:r>
        <w:rPr>
          <w:rFonts w:eastAsia="仿宋_GB2312"/>
          <w:sz w:val="32"/>
          <w:szCs w:val="32"/>
          <w:shd w:val="clear" w:color="auto" w:fill="FFFFFF"/>
        </w:rPr>
        <w:t>绩效评价</w:t>
      </w:r>
      <w:r>
        <w:rPr>
          <w:rFonts w:hint="eastAsia" w:eastAsia="仿宋_GB2312"/>
          <w:sz w:val="32"/>
          <w:szCs w:val="32"/>
          <w:shd w:val="clear" w:color="auto" w:fill="FFFFFF"/>
        </w:rPr>
        <w:t>及</w:t>
      </w:r>
      <w:r>
        <w:rPr>
          <w:rFonts w:eastAsia="仿宋_GB2312"/>
          <w:sz w:val="32"/>
          <w:szCs w:val="32"/>
          <w:shd w:val="clear" w:color="auto" w:fill="FFFFFF"/>
        </w:rPr>
        <w:t>结果运用</w:t>
      </w:r>
      <w:r>
        <w:rPr>
          <w:rFonts w:hint="eastAsia" w:eastAsia="仿宋_GB2312"/>
          <w:sz w:val="32"/>
          <w:szCs w:val="32"/>
          <w:shd w:val="clear" w:color="auto" w:fill="FFFFFF"/>
        </w:rPr>
        <w:t>的机制</w:t>
      </w:r>
      <w:r>
        <w:rPr>
          <w:rFonts w:eastAsia="仿宋_GB2312"/>
          <w:sz w:val="32"/>
          <w:szCs w:val="32"/>
          <w:shd w:val="clear" w:color="auto" w:fill="FFFFFF"/>
        </w:rPr>
        <w:t>，倒逼财政资金管理成效，提高资金使用效益。</w:t>
      </w:r>
    </w:p>
    <w:p>
      <w:pPr>
        <w:keepNext w:val="0"/>
        <w:keepLines w:val="0"/>
        <w:pageBreakBefore w:val="0"/>
        <w:kinsoku/>
        <w:wordWrap/>
        <w:overflowPunct/>
        <w:topLinePunct w:val="0"/>
        <w:autoSpaceDE/>
        <w:autoSpaceDN/>
        <w:bidi w:val="0"/>
        <w:adjustRightInd/>
        <w:spacing w:line="608" w:lineRule="exact"/>
        <w:ind w:right="0" w:firstLine="643" w:firstLineChars="200"/>
        <w:textAlignment w:val="auto"/>
        <w:outlineLvl w:val="9"/>
        <w:rPr>
          <w:rFonts w:eastAsia="仿宋_GB2312"/>
          <w:spacing w:val="-6"/>
          <w:sz w:val="32"/>
          <w:szCs w:val="32"/>
        </w:rPr>
      </w:pPr>
      <w:r>
        <w:rPr>
          <w:rFonts w:hint="eastAsia" w:ascii="楷体_GB2312" w:hAnsi="楷体_GB2312" w:eastAsia="楷体_GB2312" w:cs="楷体_GB2312"/>
          <w:b/>
          <w:sz w:val="32"/>
          <w:szCs w:val="32"/>
        </w:rPr>
        <w:t>（三）强化结构调整，着力提升保障能力。</w:t>
      </w:r>
      <w:r>
        <w:rPr>
          <w:rFonts w:eastAsia="仿宋_GB2312"/>
          <w:kern w:val="0"/>
          <w:sz w:val="32"/>
          <w:szCs w:val="32"/>
          <w:shd w:val="clear" w:color="auto" w:fill="FFFFFF"/>
          <w:lang w:bidi="ar"/>
        </w:rPr>
        <w:t>加强预算管控，筑牢“保运转、保民生、保重点”的底线，坚持补短板、补缺漏，确保各项支出当前可承受、未来可</w:t>
      </w:r>
      <w:r>
        <w:rPr>
          <w:rFonts w:eastAsia="仿宋_GB2312"/>
          <w:b w:val="0"/>
          <w:bCs w:val="0"/>
          <w:kern w:val="0"/>
          <w:sz w:val="32"/>
          <w:szCs w:val="32"/>
          <w:shd w:val="clear" w:color="auto" w:fill="FFFFFF"/>
          <w:lang w:bidi="ar"/>
        </w:rPr>
        <w:t>持续。一是完善公共服务体系，按时足额发放职工工资和落实相关调标政策；积极统筹资金保障各项改革支出，确保机构改革工作顺利推进。二是持续保障和改善民生，扎实做好重点民生工程、困难群众基本生活保障等工作，</w:t>
      </w:r>
      <w:r>
        <w:rPr>
          <w:rFonts w:eastAsia="仿宋_GB2312"/>
          <w:b w:val="0"/>
          <w:bCs w:val="0"/>
          <w:sz w:val="32"/>
          <w:szCs w:val="32"/>
        </w:rPr>
        <w:t>支持养老院、社区日间照料中心、老饭桌等养老服务体系建设，</w:t>
      </w:r>
      <w:r>
        <w:rPr>
          <w:rFonts w:hint="eastAsia" w:eastAsia="仿宋_GB2312"/>
          <w:b w:val="0"/>
          <w:bCs w:val="0"/>
          <w:kern w:val="0"/>
          <w:sz w:val="32"/>
          <w:szCs w:val="32"/>
          <w:shd w:val="clear" w:color="auto" w:fill="FFFFFF"/>
          <w:lang w:bidi="ar"/>
        </w:rPr>
        <w:t>使</w:t>
      </w:r>
      <w:r>
        <w:rPr>
          <w:rFonts w:eastAsia="仿宋_GB2312"/>
          <w:b w:val="0"/>
          <w:bCs w:val="0"/>
          <w:kern w:val="0"/>
          <w:sz w:val="32"/>
          <w:szCs w:val="32"/>
          <w:shd w:val="clear" w:color="auto" w:fill="FFFFFF"/>
          <w:lang w:bidi="ar"/>
        </w:rPr>
        <w:t>财政资金向民生倾斜，让广大群众得到更多“看得见、摸得着”的实惠。三</w:t>
      </w:r>
      <w:r>
        <w:rPr>
          <w:rFonts w:eastAsia="仿宋_GB2312"/>
          <w:b w:val="0"/>
          <w:bCs w:val="0"/>
          <w:sz w:val="32"/>
          <w:szCs w:val="32"/>
        </w:rPr>
        <w:t>是加大农村基础设施投入力度，围绕三大攻坚战和乡村振兴战略，重点支持脱贫攻坚、现代农业、美丽小城镇</w:t>
      </w:r>
      <w:r>
        <w:rPr>
          <w:rFonts w:eastAsia="仿宋_GB2312"/>
          <w:sz w:val="32"/>
          <w:szCs w:val="32"/>
        </w:rPr>
        <w:t>、美丽</w:t>
      </w:r>
      <w:r>
        <w:rPr>
          <w:rFonts w:eastAsia="仿宋_GB2312"/>
          <w:spacing w:val="-6"/>
          <w:sz w:val="32"/>
          <w:szCs w:val="32"/>
        </w:rPr>
        <w:t>乡村、农村污水处理、全域旅游和乡村旅游</w:t>
      </w:r>
      <w:r>
        <w:rPr>
          <w:rFonts w:hint="eastAsia" w:eastAsia="仿宋_GB2312"/>
          <w:spacing w:val="-6"/>
          <w:sz w:val="32"/>
          <w:szCs w:val="32"/>
          <w:lang w:eastAsia="zh-CN"/>
        </w:rPr>
        <w:t>、农田水利</w:t>
      </w:r>
      <w:r>
        <w:rPr>
          <w:rFonts w:eastAsia="仿宋_GB2312"/>
          <w:spacing w:val="-6"/>
          <w:sz w:val="32"/>
          <w:szCs w:val="32"/>
        </w:rPr>
        <w:t>等项目建设。</w:t>
      </w:r>
    </w:p>
    <w:p>
      <w:pPr>
        <w:keepNext w:val="0"/>
        <w:keepLines w:val="0"/>
        <w:pageBreakBefore w:val="0"/>
        <w:kinsoku/>
        <w:wordWrap/>
        <w:overflowPunct/>
        <w:topLinePunct w:val="0"/>
        <w:autoSpaceDE/>
        <w:autoSpaceDN/>
        <w:bidi w:val="0"/>
        <w:adjustRightInd/>
        <w:spacing w:line="608" w:lineRule="exact"/>
        <w:ind w:right="0" w:firstLine="643" w:firstLineChars="200"/>
        <w:textAlignment w:val="auto"/>
        <w:outlineLvl w:val="9"/>
        <w:rPr>
          <w:rFonts w:eastAsia="仿宋_GB2312"/>
          <w:sz w:val="32"/>
          <w:szCs w:val="32"/>
        </w:rPr>
      </w:pPr>
      <w:r>
        <w:rPr>
          <w:rFonts w:hint="eastAsia" w:ascii="楷体_GB2312" w:hAnsi="楷体_GB2312" w:eastAsia="楷体_GB2312" w:cs="楷体_GB2312"/>
          <w:b/>
          <w:sz w:val="32"/>
          <w:szCs w:val="32"/>
        </w:rPr>
        <w:t>（四）强化财政监管，着力提升管理水平。</w:t>
      </w:r>
      <w:r>
        <w:rPr>
          <w:rFonts w:eastAsia="仿宋_GB2312"/>
          <w:sz w:val="32"/>
          <w:szCs w:val="32"/>
        </w:rPr>
        <w:t>严格执行“八项规定”相关要求，厉行节约，严控 “三公”经费支出。持续推进财政资金动态监控和公务卡强制结算，确保财政资金运行规范和安全。全面贯彻落实政府会计制度改革，进一步规范行政事业单位会计行为，提高会计信息质量。加大行政事业单位国有资产监管力度，进一步完善经管资产和自然资源国有资产报告制度，贯彻落实向人大常委会报告国有资产管理情况制度。</w:t>
      </w:r>
      <w:r>
        <w:rPr>
          <w:rFonts w:eastAsia="仿宋_GB2312"/>
          <w:sz w:val="32"/>
          <w:szCs w:val="32"/>
          <w:shd w:val="clear" w:color="auto" w:fill="FFFFFF"/>
        </w:rPr>
        <w:t>强化政府债务限额管理，落实隐性债务化解计划，加强</w:t>
      </w:r>
      <w:r>
        <w:rPr>
          <w:rFonts w:hint="eastAsia" w:eastAsia="仿宋_GB2312"/>
          <w:sz w:val="32"/>
          <w:szCs w:val="32"/>
          <w:shd w:val="clear" w:color="auto" w:fill="FFFFFF"/>
        </w:rPr>
        <w:t>重大</w:t>
      </w:r>
      <w:r>
        <w:rPr>
          <w:rFonts w:eastAsia="仿宋_GB2312"/>
          <w:sz w:val="32"/>
          <w:szCs w:val="32"/>
          <w:shd w:val="clear" w:color="auto" w:fill="FFFFFF"/>
        </w:rPr>
        <w:t>风险防控和应对，进一步防范化解债务风险。</w:t>
      </w:r>
    </w:p>
    <w:p>
      <w:pPr>
        <w:keepNext w:val="0"/>
        <w:keepLines w:val="0"/>
        <w:pageBreakBefore w:val="0"/>
        <w:kinsoku/>
        <w:wordWrap/>
        <w:overflowPunct/>
        <w:topLinePunct w:val="0"/>
        <w:autoSpaceDE/>
        <w:autoSpaceDN/>
        <w:bidi w:val="0"/>
        <w:adjustRightInd/>
        <w:spacing w:line="608" w:lineRule="exact"/>
        <w:ind w:right="0" w:firstLine="640" w:firstLineChars="200"/>
        <w:jc w:val="left"/>
        <w:textAlignment w:val="auto"/>
        <w:outlineLvl w:val="9"/>
        <w:rPr>
          <w:rFonts w:eastAsia="仿宋_GB2312"/>
          <w:sz w:val="32"/>
          <w:szCs w:val="32"/>
        </w:rPr>
      </w:pPr>
      <w:r>
        <w:rPr>
          <w:rFonts w:eastAsia="仿宋_GB2312"/>
          <w:sz w:val="32"/>
          <w:szCs w:val="32"/>
        </w:rPr>
        <w:t>各位代表，2019年的财政工作面临的任务更加艰巨。我们将认真贯彻落实区委的新决策新部署新要求，自觉接受区人大的监督，虚心听取区政协的意见和建议，切实加强财政科学管理，充分发挥财政职能作用，不断开创财政工作新局面，为沙坡头区经济社会持续协调发展做出更大的贡献｡</w:t>
      </w:r>
      <w:r>
        <w:rPr>
          <w:rFonts w:eastAsia="仿宋_GB2312"/>
          <w:sz w:val="32"/>
          <w:szCs w:val="32"/>
        </w:rPr>
        <w:br w:type="page"/>
      </w:r>
    </w:p>
    <w:p>
      <w:pPr>
        <w:keepNext w:val="0"/>
        <w:keepLines w:val="0"/>
        <w:pageBreakBefore w:val="0"/>
        <w:widowControl w:val="0"/>
        <w:kinsoku/>
        <w:wordWrap/>
        <w:overflowPunct/>
        <w:topLinePunct w:val="0"/>
        <w:autoSpaceDE/>
        <w:autoSpaceDN/>
        <w:bidi w:val="0"/>
        <w:adjustRightInd/>
        <w:snapToGrid/>
        <w:spacing w:before="159" w:after="159" w:line="560" w:lineRule="exact"/>
        <w:ind w:right="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名词解释</w:t>
      </w:r>
    </w:p>
    <w:p>
      <w:pPr>
        <w:pStyle w:val="2"/>
      </w:pPr>
    </w:p>
    <w:p>
      <w:pPr>
        <w:keepNext w:val="0"/>
        <w:keepLines w:val="0"/>
        <w:pageBreakBefore w:val="0"/>
        <w:kinsoku/>
        <w:wordWrap/>
        <w:overflowPunct/>
        <w:topLinePunct w:val="0"/>
        <w:autoSpaceDE/>
        <w:autoSpaceDN/>
        <w:bidi w:val="0"/>
        <w:adjustRightInd/>
        <w:spacing w:line="560" w:lineRule="exact"/>
        <w:ind w:right="0" w:firstLine="643" w:firstLineChars="200"/>
        <w:textAlignment w:val="auto"/>
        <w:rPr>
          <w:rFonts w:eastAsia="仿宋_GB2312"/>
          <w:sz w:val="32"/>
          <w:szCs w:val="32"/>
        </w:rPr>
      </w:pPr>
      <w:r>
        <w:rPr>
          <w:rFonts w:eastAsia="仿宋_GB2312"/>
          <w:b/>
          <w:bCs/>
          <w:sz w:val="32"/>
          <w:szCs w:val="32"/>
        </w:rPr>
        <w:t>1.一般公共预算：</w:t>
      </w:r>
      <w:r>
        <w:rPr>
          <w:rFonts w:eastAsia="仿宋_GB2312"/>
          <w:sz w:val="32"/>
          <w:szCs w:val="32"/>
        </w:rPr>
        <w:t>是对以税收为主体的财政收入，安排用于保障和改善民生、推动经济社会发展、维护国家安全、维持国家机构正常运转等方面的收支预算。</w:t>
      </w:r>
    </w:p>
    <w:p>
      <w:pPr>
        <w:keepNext w:val="0"/>
        <w:keepLines w:val="0"/>
        <w:pageBreakBefore w:val="0"/>
        <w:kinsoku/>
        <w:wordWrap/>
        <w:overflowPunct/>
        <w:topLinePunct w:val="0"/>
        <w:autoSpaceDE/>
        <w:autoSpaceDN/>
        <w:bidi w:val="0"/>
        <w:adjustRightInd/>
        <w:spacing w:line="560" w:lineRule="exact"/>
        <w:ind w:right="0"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kern w:val="2"/>
          <w:sz w:val="32"/>
          <w:szCs w:val="32"/>
        </w:rPr>
        <w:t>2.政府性基金预算：</w:t>
      </w:r>
      <w:r>
        <w:rPr>
          <w:rFonts w:ascii="Times New Roman" w:hAnsi="Times New Roman" w:eastAsia="仿宋_GB2312" w:cs="Times New Roman"/>
          <w:kern w:val="2"/>
          <w:sz w:val="32"/>
          <w:szCs w:val="32"/>
        </w:rPr>
        <w:t>是对依照法律、行政法规的规定在一定期限内向特定对象征收、收取或者以其他方式筹集的资金，专项用于特定公共事业发展的收支预算。</w:t>
      </w:r>
    </w:p>
    <w:p>
      <w:pPr>
        <w:keepNext w:val="0"/>
        <w:keepLines w:val="0"/>
        <w:pageBreakBefore w:val="0"/>
        <w:kinsoku/>
        <w:wordWrap/>
        <w:overflowPunct/>
        <w:topLinePunct w:val="0"/>
        <w:autoSpaceDE/>
        <w:autoSpaceDN/>
        <w:bidi w:val="0"/>
        <w:adjustRightInd/>
        <w:spacing w:line="560" w:lineRule="exact"/>
        <w:ind w:right="0" w:firstLine="643" w:firstLineChars="200"/>
        <w:textAlignment w:val="auto"/>
        <w:rPr>
          <w:rFonts w:eastAsia="仿宋_GB2312"/>
          <w:sz w:val="32"/>
          <w:szCs w:val="32"/>
        </w:rPr>
      </w:pPr>
      <w:r>
        <w:rPr>
          <w:rFonts w:hint="eastAsia" w:ascii="Times New Roman" w:hAnsi="Times New Roman" w:eastAsia="仿宋_GB2312" w:cs="Times New Roman"/>
          <w:b/>
          <w:bCs/>
          <w:sz w:val="32"/>
          <w:szCs w:val="32"/>
          <w:lang w:val="en-US" w:eastAsia="zh-CN"/>
        </w:rPr>
        <w:t>3.</w:t>
      </w:r>
      <w:r>
        <w:rPr>
          <w:rFonts w:ascii="Times New Roman" w:hAnsi="Times New Roman" w:eastAsia="仿宋_GB2312" w:cs="Times New Roman"/>
          <w:b/>
          <w:bCs/>
          <w:sz w:val="32"/>
          <w:szCs w:val="32"/>
        </w:rPr>
        <w:t>地方政府债券资金：</w:t>
      </w:r>
      <w:r>
        <w:rPr>
          <w:rFonts w:ascii="Times New Roman" w:hAnsi="Times New Roman" w:eastAsia="仿宋_GB2312" w:cs="Times New Roman"/>
          <w:sz w:val="32"/>
          <w:szCs w:val="32"/>
        </w:rPr>
        <w:t>指某一国家中有财政收入的地方政府地方公共机构发行的债券。地方政府债券一般用于交通、通讯、住宅、教育、医院和污水处理系统等地方性公共</w:t>
      </w:r>
      <w:r>
        <w:rPr>
          <w:rFonts w:eastAsia="仿宋_GB2312"/>
          <w:sz w:val="32"/>
          <w:szCs w:val="32"/>
        </w:rPr>
        <w:t>设施的建设。地方政府债券一般也是以当地政府的税收能力作为还本付息的担保。地方发债有两种模式，第一种为地方政府直接发债；第二种是中央发行国债，再转贷给地方，也就是中央发国债之后给地方用。</w:t>
      </w:r>
    </w:p>
    <w:p>
      <w:pPr>
        <w:keepNext w:val="0"/>
        <w:keepLines w:val="0"/>
        <w:pageBreakBefore w:val="0"/>
        <w:kinsoku/>
        <w:wordWrap/>
        <w:overflowPunct/>
        <w:topLinePunct w:val="0"/>
        <w:autoSpaceDE/>
        <w:autoSpaceDN/>
        <w:bidi w:val="0"/>
        <w:adjustRightInd/>
        <w:spacing w:line="560" w:lineRule="exact"/>
        <w:ind w:right="0" w:firstLine="643" w:firstLineChars="200"/>
        <w:textAlignment w:val="auto"/>
        <w:rPr>
          <w:rFonts w:eastAsia="仿宋_GB2312"/>
          <w:sz w:val="32"/>
          <w:szCs w:val="32"/>
        </w:rPr>
      </w:pPr>
      <w:r>
        <w:rPr>
          <w:rFonts w:hint="eastAsia" w:eastAsia="仿宋_GB2312"/>
          <w:b/>
          <w:bCs/>
          <w:sz w:val="32"/>
          <w:szCs w:val="32"/>
          <w:lang w:val="en-US" w:eastAsia="zh-CN"/>
        </w:rPr>
        <w:t>4</w:t>
      </w:r>
      <w:r>
        <w:rPr>
          <w:rFonts w:eastAsia="仿宋_GB2312"/>
          <w:b/>
          <w:bCs/>
          <w:sz w:val="32"/>
          <w:szCs w:val="32"/>
        </w:rPr>
        <w:t>.一般公共服务：</w:t>
      </w:r>
      <w:r>
        <w:rPr>
          <w:rFonts w:eastAsia="仿宋_GB2312"/>
          <w:sz w:val="32"/>
          <w:szCs w:val="32"/>
        </w:rPr>
        <w:t>一般公共服务支出主要用于保障机关事业单位正常运转，支持各机关单位履行职能，保障各机关部门的项目支出需要，以及支持地方落实自主择业军转干部退役金等。</w:t>
      </w:r>
    </w:p>
    <w:p>
      <w:pPr>
        <w:keepNext w:val="0"/>
        <w:keepLines w:val="0"/>
        <w:pageBreakBefore w:val="0"/>
        <w:kinsoku/>
        <w:wordWrap/>
        <w:overflowPunct/>
        <w:topLinePunct w:val="0"/>
        <w:autoSpaceDE/>
        <w:autoSpaceDN/>
        <w:bidi w:val="0"/>
        <w:adjustRightInd/>
        <w:spacing w:line="560" w:lineRule="exact"/>
        <w:ind w:right="0" w:firstLine="643" w:firstLineChars="200"/>
        <w:textAlignment w:val="auto"/>
        <w:rPr>
          <w:rFonts w:eastAsia="仿宋_GB2312"/>
          <w:sz w:val="32"/>
          <w:szCs w:val="32"/>
        </w:rPr>
        <w:sectPr>
          <w:headerReference r:id="rId3" w:type="default"/>
          <w:footerReference r:id="rId4" w:type="default"/>
          <w:pgSz w:w="11906" w:h="16838"/>
          <w:pgMar w:top="2041" w:right="1531" w:bottom="1928" w:left="1531" w:header="851" w:footer="1417" w:gutter="0"/>
          <w:paperSrc/>
          <w:pgNumType w:fmt="decimal"/>
          <w:cols w:space="0" w:num="1"/>
          <w:rtlGutter w:val="0"/>
          <w:docGrid w:type="lines" w:linePitch="315" w:charSpace="0"/>
        </w:sectPr>
      </w:pPr>
      <w:r>
        <w:rPr>
          <w:rFonts w:hint="eastAsia" w:eastAsia="仿宋_GB2312"/>
          <w:b/>
          <w:bCs/>
          <w:sz w:val="32"/>
          <w:szCs w:val="32"/>
          <w:lang w:val="en-US" w:eastAsia="zh-CN"/>
        </w:rPr>
        <w:t>5</w:t>
      </w:r>
      <w:r>
        <w:rPr>
          <w:rFonts w:eastAsia="仿宋_GB2312"/>
          <w:b/>
          <w:bCs/>
          <w:sz w:val="32"/>
          <w:szCs w:val="32"/>
        </w:rPr>
        <w:t>.预备费：</w:t>
      </w:r>
      <w:r>
        <w:rPr>
          <w:rFonts w:eastAsia="仿宋_GB2312"/>
          <w:sz w:val="32"/>
          <w:szCs w:val="32"/>
        </w:rPr>
        <w:t>《中华人民共和国预算法》第四十条规定，“各级一般公共预算应当按照本级一般公共预算支出额的百分之一至百分之三设置预备费，用于当年预算执行中的自然灾害等突发事件处理增加的支出及其他难以预见的开支。”</w:t>
      </w:r>
    </w:p>
    <w:tbl>
      <w:tblPr>
        <w:tblW w:w="1372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7" w:type="dxa"/>
          <w:left w:w="74" w:type="dxa"/>
          <w:bottom w:w="17" w:type="dxa"/>
          <w:right w:w="74" w:type="dxa"/>
        </w:tblCellMar>
      </w:tblPr>
      <w:tblGrid>
        <w:gridCol w:w="3464"/>
        <w:gridCol w:w="1714"/>
        <w:gridCol w:w="1705"/>
        <w:gridCol w:w="1888"/>
        <w:gridCol w:w="1879"/>
        <w:gridCol w:w="3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7" w:type="dxa"/>
            <w:left w:w="74" w:type="dxa"/>
            <w:bottom w:w="17" w:type="dxa"/>
            <w:right w:w="74" w:type="dxa"/>
          </w:tblCellMar>
        </w:tblPrEx>
        <w:trPr>
          <w:trHeight w:val="510" w:hRule="atLeast"/>
          <w:jc w:val="center"/>
        </w:trPr>
        <w:tc>
          <w:tcPr>
            <w:tcW w:w="3464" w:type="dxa"/>
            <w:shd w:val="clear"/>
            <w:vAlign w:val="bottom"/>
          </w:tcPr>
          <w:p>
            <w:pPr>
              <w:keepNext w:val="0"/>
              <w:keepLines w:val="0"/>
              <w:widowControl/>
              <w:suppressLineNumbers w:val="0"/>
              <w:jc w:val="left"/>
              <w:textAlignment w:val="bottom"/>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附表一：</w:t>
            </w:r>
          </w:p>
        </w:tc>
        <w:tc>
          <w:tcPr>
            <w:tcW w:w="1714" w:type="dxa"/>
            <w:shd w:val="clear" w:color="auto" w:fill="FFFFFF"/>
            <w:vAlign w:val="bottom"/>
          </w:tcPr>
          <w:p>
            <w:pPr>
              <w:rPr>
                <w:rFonts w:hint="default" w:ascii="Times New Roman" w:hAnsi="Times New Roman" w:eastAsia="宋体" w:cs="Times New Roman"/>
                <w:i w:val="0"/>
                <w:color w:val="000000"/>
                <w:sz w:val="24"/>
                <w:szCs w:val="24"/>
                <w:u w:val="none"/>
              </w:rPr>
            </w:pPr>
          </w:p>
        </w:tc>
        <w:tc>
          <w:tcPr>
            <w:tcW w:w="1705" w:type="dxa"/>
            <w:shd w:val="clear" w:color="auto" w:fill="FFFFFF"/>
            <w:vAlign w:val="bottom"/>
          </w:tcPr>
          <w:p>
            <w:pPr>
              <w:rPr>
                <w:rFonts w:hint="default" w:ascii="Times New Roman" w:hAnsi="Times New Roman" w:eastAsia="宋体" w:cs="Times New Roman"/>
                <w:i w:val="0"/>
                <w:color w:val="000000"/>
                <w:sz w:val="24"/>
                <w:szCs w:val="24"/>
                <w:u w:val="none"/>
              </w:rPr>
            </w:pPr>
          </w:p>
        </w:tc>
        <w:tc>
          <w:tcPr>
            <w:tcW w:w="1888" w:type="dxa"/>
            <w:shd w:val="clear"/>
            <w:vAlign w:val="bottom"/>
          </w:tcPr>
          <w:p>
            <w:pPr>
              <w:rPr>
                <w:rFonts w:hint="default" w:ascii="Times New Roman" w:hAnsi="Times New Roman" w:eastAsia="宋体" w:cs="Times New Roman"/>
                <w:i w:val="0"/>
                <w:color w:val="000000"/>
                <w:sz w:val="24"/>
                <w:szCs w:val="24"/>
                <w:u w:val="none"/>
              </w:rPr>
            </w:pPr>
          </w:p>
        </w:tc>
        <w:tc>
          <w:tcPr>
            <w:tcW w:w="1879" w:type="dxa"/>
            <w:shd w:val="clear"/>
            <w:vAlign w:val="center"/>
          </w:tcPr>
          <w:p>
            <w:pPr>
              <w:rPr>
                <w:rFonts w:hint="eastAsia" w:ascii="宋体" w:hAnsi="宋体" w:eastAsia="宋体" w:cs="宋体"/>
                <w:i w:val="0"/>
                <w:color w:val="000000"/>
                <w:sz w:val="24"/>
                <w:szCs w:val="24"/>
                <w:u w:val="none"/>
              </w:rPr>
            </w:pPr>
          </w:p>
        </w:tc>
        <w:tc>
          <w:tcPr>
            <w:tcW w:w="3070" w:type="dxa"/>
            <w:shd w:val="cle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74" w:type="dxa"/>
            <w:bottom w:w="17" w:type="dxa"/>
            <w:right w:w="74" w:type="dxa"/>
          </w:tblCellMar>
        </w:tblPrEx>
        <w:trPr>
          <w:trHeight w:val="408" w:hRule="atLeast"/>
          <w:jc w:val="center"/>
        </w:trPr>
        <w:tc>
          <w:tcPr>
            <w:tcW w:w="13720" w:type="dxa"/>
            <w:gridSpan w:val="6"/>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2019年沙坡头区财政预算收支总表（草案</w:t>
            </w:r>
            <w:r>
              <w:rPr>
                <w:rFonts w:hint="eastAsia" w:ascii="宋体" w:hAnsi="宋体" w:eastAsia="宋体" w:cs="宋体"/>
                <w:i w:val="0"/>
                <w:color w:val="000000"/>
                <w:kern w:val="0"/>
                <w:sz w:val="36"/>
                <w:szCs w:val="3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74" w:type="dxa"/>
            <w:bottom w:w="17" w:type="dxa"/>
            <w:right w:w="74" w:type="dxa"/>
          </w:tblCellMar>
        </w:tblPrEx>
        <w:trPr>
          <w:trHeight w:val="363" w:hRule="atLeast"/>
          <w:jc w:val="center"/>
        </w:trPr>
        <w:tc>
          <w:tcPr>
            <w:tcW w:w="3464" w:type="dxa"/>
            <w:shd w:val="clear"/>
            <w:vAlign w:val="center"/>
          </w:tcPr>
          <w:p>
            <w:pPr>
              <w:jc w:val="left"/>
              <w:rPr>
                <w:rFonts w:hint="default" w:ascii="Times New Roman" w:hAnsi="Times New Roman" w:eastAsia="宋体" w:cs="Times New Roman"/>
                <w:b/>
                <w:i w:val="0"/>
                <w:color w:val="000000"/>
                <w:sz w:val="24"/>
                <w:szCs w:val="24"/>
                <w:u w:val="none"/>
              </w:rPr>
            </w:pPr>
          </w:p>
        </w:tc>
        <w:tc>
          <w:tcPr>
            <w:tcW w:w="1714" w:type="dxa"/>
            <w:shd w:val="clear"/>
            <w:vAlign w:val="bottom"/>
          </w:tcPr>
          <w:p>
            <w:pPr>
              <w:rPr>
                <w:rFonts w:hint="default" w:ascii="Times New Roman" w:hAnsi="Times New Roman" w:eastAsia="宋体" w:cs="Times New Roman"/>
                <w:i w:val="0"/>
                <w:color w:val="000000"/>
                <w:sz w:val="24"/>
                <w:szCs w:val="24"/>
                <w:u w:val="single"/>
              </w:rPr>
            </w:pPr>
          </w:p>
        </w:tc>
        <w:tc>
          <w:tcPr>
            <w:tcW w:w="1705" w:type="dxa"/>
            <w:shd w:val="clear"/>
            <w:vAlign w:val="bottom"/>
          </w:tcPr>
          <w:p>
            <w:pPr>
              <w:rPr>
                <w:rFonts w:hint="default" w:ascii="Times New Roman" w:hAnsi="Times New Roman" w:eastAsia="宋体" w:cs="Times New Roman"/>
                <w:i w:val="0"/>
                <w:color w:val="000000"/>
                <w:sz w:val="24"/>
                <w:szCs w:val="24"/>
                <w:u w:val="single"/>
              </w:rPr>
            </w:pPr>
          </w:p>
        </w:tc>
        <w:tc>
          <w:tcPr>
            <w:tcW w:w="1888" w:type="dxa"/>
            <w:shd w:val="clear"/>
            <w:vAlign w:val="bottom"/>
          </w:tcPr>
          <w:p>
            <w:pPr>
              <w:rPr>
                <w:rFonts w:hint="default" w:ascii="Times New Roman" w:hAnsi="Times New Roman" w:eastAsia="宋体" w:cs="Times New Roman"/>
                <w:i w:val="0"/>
                <w:color w:val="000000"/>
                <w:sz w:val="24"/>
                <w:szCs w:val="24"/>
                <w:u w:val="single"/>
              </w:rPr>
            </w:pPr>
          </w:p>
        </w:tc>
        <w:tc>
          <w:tcPr>
            <w:tcW w:w="1879" w:type="dxa"/>
            <w:shd w:val="clear"/>
            <w:vAlign w:val="center"/>
          </w:tcPr>
          <w:p>
            <w:pPr>
              <w:jc w:val="right"/>
              <w:rPr>
                <w:rFonts w:hint="default" w:ascii="Times New Roman" w:hAnsi="Times New Roman" w:eastAsia="宋体" w:cs="Times New Roman"/>
                <w:b/>
                <w:i w:val="0"/>
                <w:color w:val="000000"/>
                <w:sz w:val="24"/>
                <w:szCs w:val="24"/>
                <w:u w:val="none"/>
              </w:rPr>
            </w:pPr>
          </w:p>
        </w:tc>
        <w:tc>
          <w:tcPr>
            <w:tcW w:w="3070" w:type="dxa"/>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74" w:type="dxa"/>
            <w:bottom w:w="17" w:type="dxa"/>
            <w:right w:w="74" w:type="dxa"/>
          </w:tblCellMar>
        </w:tblPrEx>
        <w:trPr>
          <w:trHeight w:val="818" w:hRule="atLeast"/>
          <w:jc w:val="center"/>
        </w:trPr>
        <w:tc>
          <w:tcPr>
            <w:tcW w:w="3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w:t>
            </w:r>
            <w:r>
              <w:rPr>
                <w:rFonts w:hint="default" w:ascii="Times New Roman" w:hAnsi="Times New Roman" w:eastAsia="宋体" w:cs="Times New Roman"/>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t>目</w:t>
            </w:r>
          </w:p>
        </w:tc>
        <w:tc>
          <w:tcPr>
            <w:tcW w:w="17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2018</w:t>
            </w:r>
            <w:r>
              <w:rPr>
                <w:rFonts w:hint="eastAsia" w:ascii="宋体" w:hAnsi="宋体" w:eastAsia="宋体" w:cs="宋体"/>
                <w:b/>
                <w:i w:val="0"/>
                <w:color w:val="000000"/>
                <w:kern w:val="0"/>
                <w:sz w:val="24"/>
                <w:szCs w:val="24"/>
                <w:u w:val="none"/>
                <w:lang w:val="en-US" w:eastAsia="zh-CN" w:bidi="ar"/>
              </w:rPr>
              <w:t>年预算数</w:t>
            </w:r>
          </w:p>
        </w:tc>
        <w:tc>
          <w:tcPr>
            <w:tcW w:w="1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2018</w:t>
            </w:r>
            <w:r>
              <w:rPr>
                <w:rFonts w:hint="eastAsia" w:ascii="宋体" w:hAnsi="宋体" w:eastAsia="宋体" w:cs="宋体"/>
                <w:b/>
                <w:i w:val="0"/>
                <w:color w:val="000000"/>
                <w:kern w:val="0"/>
                <w:sz w:val="24"/>
                <w:szCs w:val="24"/>
                <w:u w:val="none"/>
                <w:lang w:val="en-US" w:eastAsia="zh-CN" w:bidi="ar"/>
              </w:rPr>
              <w:t>年完成数</w:t>
            </w:r>
          </w:p>
        </w:tc>
        <w:tc>
          <w:tcPr>
            <w:tcW w:w="1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2019</w:t>
            </w:r>
            <w:r>
              <w:rPr>
                <w:rFonts w:hint="eastAsia" w:ascii="宋体" w:hAnsi="宋体" w:eastAsia="宋体" w:cs="宋体"/>
                <w:b/>
                <w:i w:val="0"/>
                <w:color w:val="000000"/>
                <w:kern w:val="0"/>
                <w:sz w:val="24"/>
                <w:szCs w:val="24"/>
                <w:u w:val="none"/>
                <w:lang w:val="en-US" w:eastAsia="zh-CN" w:bidi="ar"/>
              </w:rPr>
              <w:t>年预算数</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增减</w:t>
            </w:r>
            <w:r>
              <w:rPr>
                <w:rFonts w:hint="default" w:ascii="Times New Roman" w:hAnsi="Times New Roman" w:eastAsia="宋体" w:cs="Times New Roman"/>
                <w:b/>
                <w:i w:val="0"/>
                <w:color w:val="000000"/>
                <w:kern w:val="0"/>
                <w:sz w:val="24"/>
                <w:szCs w:val="24"/>
                <w:u w:val="none"/>
                <w:lang w:val="en-US" w:eastAsia="zh-CN" w:bidi="ar"/>
              </w:rPr>
              <w:t>%</w:t>
            </w: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74" w:type="dxa"/>
            <w:bottom w:w="17" w:type="dxa"/>
            <w:right w:w="74" w:type="dxa"/>
          </w:tblCellMar>
        </w:tblPrEx>
        <w:trPr>
          <w:trHeight w:val="540" w:hRule="atLeast"/>
          <w:jc w:val="center"/>
        </w:trPr>
        <w:tc>
          <w:tcPr>
            <w:tcW w:w="3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t>收</w:t>
            </w:r>
            <w:r>
              <w:rPr>
                <w:rFonts w:hint="default" w:ascii="Times New Roman" w:hAnsi="Times New Roman" w:eastAsia="宋体" w:cs="Times New Roman"/>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t>入</w:t>
            </w:r>
            <w:r>
              <w:rPr>
                <w:rFonts w:hint="default" w:ascii="Times New Roman" w:hAnsi="Times New Roman" w:eastAsia="宋体" w:cs="Times New Roman"/>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t>合</w:t>
            </w:r>
            <w:r>
              <w:rPr>
                <w:rFonts w:hint="default" w:ascii="Times New Roman" w:hAnsi="Times New Roman" w:eastAsia="宋体" w:cs="Times New Roman"/>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t>计</w:t>
            </w:r>
          </w:p>
        </w:tc>
        <w:tc>
          <w:tcPr>
            <w:tcW w:w="17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32,135 </w:t>
            </w:r>
          </w:p>
        </w:tc>
        <w:tc>
          <w:tcPr>
            <w:tcW w:w="1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27,154 </w:t>
            </w:r>
          </w:p>
        </w:tc>
        <w:tc>
          <w:tcPr>
            <w:tcW w:w="1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31,030 </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14.27 </w:t>
            </w: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74" w:type="dxa"/>
            <w:bottom w:w="17" w:type="dxa"/>
            <w:right w:w="74" w:type="dxa"/>
          </w:tblCellMar>
        </w:tblPrEx>
        <w:trPr>
          <w:trHeight w:val="540" w:hRule="atLeast"/>
          <w:jc w:val="center"/>
        </w:trPr>
        <w:tc>
          <w:tcPr>
            <w:tcW w:w="3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一、一般公共预算收入</w:t>
            </w:r>
          </w:p>
        </w:tc>
        <w:tc>
          <w:tcPr>
            <w:tcW w:w="17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32,135 </w:t>
            </w:r>
          </w:p>
        </w:tc>
        <w:tc>
          <w:tcPr>
            <w:tcW w:w="1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27,154 </w:t>
            </w:r>
          </w:p>
        </w:tc>
        <w:tc>
          <w:tcPr>
            <w:tcW w:w="1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31,030 </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14.27 </w:t>
            </w: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与完成数对比。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74" w:type="dxa"/>
            <w:bottom w:w="17" w:type="dxa"/>
            <w:right w:w="74" w:type="dxa"/>
          </w:tblCellMar>
        </w:tblPrEx>
        <w:trPr>
          <w:trHeight w:val="540" w:hRule="atLeast"/>
          <w:jc w:val="center"/>
        </w:trPr>
        <w:tc>
          <w:tcPr>
            <w:tcW w:w="3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二、政府性基金预算收入</w:t>
            </w:r>
          </w:p>
        </w:tc>
        <w:tc>
          <w:tcPr>
            <w:tcW w:w="171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170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188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74" w:type="dxa"/>
            <w:bottom w:w="17" w:type="dxa"/>
            <w:right w:w="74" w:type="dxa"/>
          </w:tblCellMar>
        </w:tblPrEx>
        <w:trPr>
          <w:trHeight w:val="540" w:hRule="atLeast"/>
          <w:jc w:val="center"/>
        </w:trPr>
        <w:tc>
          <w:tcPr>
            <w:tcW w:w="3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三、国有资本经营预算收入</w:t>
            </w:r>
          </w:p>
        </w:tc>
        <w:tc>
          <w:tcPr>
            <w:tcW w:w="171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170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188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74" w:type="dxa"/>
            <w:bottom w:w="17" w:type="dxa"/>
            <w:right w:w="74" w:type="dxa"/>
          </w:tblCellMar>
        </w:tblPrEx>
        <w:trPr>
          <w:trHeight w:val="540" w:hRule="atLeast"/>
          <w:jc w:val="center"/>
        </w:trPr>
        <w:tc>
          <w:tcPr>
            <w:tcW w:w="3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四、社会保险基金预算收入</w:t>
            </w:r>
          </w:p>
        </w:tc>
        <w:tc>
          <w:tcPr>
            <w:tcW w:w="171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170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188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74" w:type="dxa"/>
            <w:bottom w:w="17" w:type="dxa"/>
            <w:right w:w="74" w:type="dxa"/>
          </w:tblCellMar>
        </w:tblPrEx>
        <w:trPr>
          <w:trHeight w:val="540" w:hRule="atLeast"/>
          <w:jc w:val="center"/>
        </w:trPr>
        <w:tc>
          <w:tcPr>
            <w:tcW w:w="3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t>支</w:t>
            </w:r>
            <w:r>
              <w:rPr>
                <w:rFonts w:hint="default" w:ascii="Times New Roman" w:hAnsi="Times New Roman" w:eastAsia="宋体" w:cs="Times New Roman"/>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t>出</w:t>
            </w:r>
            <w:r>
              <w:rPr>
                <w:rFonts w:hint="default" w:ascii="Times New Roman" w:hAnsi="Times New Roman" w:eastAsia="宋体" w:cs="Times New Roman"/>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t>合</w:t>
            </w:r>
            <w:r>
              <w:rPr>
                <w:rFonts w:hint="default" w:ascii="Times New Roman" w:hAnsi="Times New Roman" w:eastAsia="宋体" w:cs="Times New Roman"/>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t>计</w:t>
            </w:r>
          </w:p>
        </w:tc>
        <w:tc>
          <w:tcPr>
            <w:tcW w:w="17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39,300 </w:t>
            </w:r>
          </w:p>
        </w:tc>
        <w:tc>
          <w:tcPr>
            <w:tcW w:w="1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127,500 </w:t>
            </w:r>
          </w:p>
        </w:tc>
        <w:tc>
          <w:tcPr>
            <w:tcW w:w="1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42,250 </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7.51 </w:t>
            </w: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74" w:type="dxa"/>
            <w:bottom w:w="17" w:type="dxa"/>
            <w:right w:w="74" w:type="dxa"/>
          </w:tblCellMar>
        </w:tblPrEx>
        <w:trPr>
          <w:trHeight w:val="771" w:hRule="atLeast"/>
          <w:jc w:val="center"/>
        </w:trPr>
        <w:tc>
          <w:tcPr>
            <w:tcW w:w="3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一、一般公共预算支出</w:t>
            </w:r>
          </w:p>
        </w:tc>
        <w:tc>
          <w:tcPr>
            <w:tcW w:w="17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39,300 </w:t>
            </w:r>
          </w:p>
        </w:tc>
        <w:tc>
          <w:tcPr>
            <w:tcW w:w="1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124,301 </w:t>
            </w:r>
          </w:p>
        </w:tc>
        <w:tc>
          <w:tcPr>
            <w:tcW w:w="1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42,250 </w:t>
            </w: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7.51 </w:t>
            </w: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2018</w:t>
            </w:r>
            <w:r>
              <w:rPr>
                <w:rFonts w:hint="eastAsia" w:ascii="宋体" w:hAnsi="宋体" w:eastAsia="宋体" w:cs="宋体"/>
                <w:i w:val="0"/>
                <w:color w:val="000000"/>
                <w:kern w:val="0"/>
                <w:sz w:val="20"/>
                <w:szCs w:val="20"/>
                <w:u w:val="none"/>
                <w:lang w:val="en-US" w:eastAsia="zh-CN" w:bidi="ar"/>
              </w:rPr>
              <w:t>年为年初预算数，不包含自治区提前下达专项转移支付。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74" w:type="dxa"/>
            <w:bottom w:w="17" w:type="dxa"/>
            <w:right w:w="74" w:type="dxa"/>
          </w:tblCellMar>
        </w:tblPrEx>
        <w:trPr>
          <w:trHeight w:val="540" w:hRule="atLeast"/>
          <w:jc w:val="center"/>
        </w:trPr>
        <w:tc>
          <w:tcPr>
            <w:tcW w:w="3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二、政府性预算支出</w:t>
            </w:r>
          </w:p>
        </w:tc>
        <w:tc>
          <w:tcPr>
            <w:tcW w:w="171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1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3,199 </w:t>
            </w:r>
          </w:p>
        </w:tc>
        <w:tc>
          <w:tcPr>
            <w:tcW w:w="188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74" w:type="dxa"/>
            <w:bottom w:w="17" w:type="dxa"/>
            <w:right w:w="74" w:type="dxa"/>
          </w:tblCellMar>
        </w:tblPrEx>
        <w:trPr>
          <w:trHeight w:val="540" w:hRule="atLeast"/>
          <w:jc w:val="center"/>
        </w:trPr>
        <w:tc>
          <w:tcPr>
            <w:tcW w:w="3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三、国有资</w:t>
            </w:r>
            <w:bookmarkStart w:id="0" w:name="_GoBack"/>
            <w:bookmarkEnd w:id="0"/>
            <w:r>
              <w:rPr>
                <w:rFonts w:hint="eastAsia" w:ascii="宋体" w:hAnsi="宋体" w:eastAsia="宋体" w:cs="宋体"/>
                <w:i w:val="0"/>
                <w:color w:val="000000"/>
                <w:kern w:val="0"/>
                <w:sz w:val="24"/>
                <w:szCs w:val="24"/>
                <w:u w:val="none"/>
                <w:lang w:val="en-US" w:eastAsia="zh-CN" w:bidi="ar"/>
              </w:rPr>
              <w:t>本经营预算支出</w:t>
            </w:r>
          </w:p>
        </w:tc>
        <w:tc>
          <w:tcPr>
            <w:tcW w:w="17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4"/>
                <w:szCs w:val="24"/>
                <w:u w:val="none"/>
              </w:rPr>
            </w:pPr>
          </w:p>
        </w:tc>
        <w:tc>
          <w:tcPr>
            <w:tcW w:w="17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4"/>
                <w:szCs w:val="24"/>
                <w:u w:val="none"/>
              </w:rPr>
            </w:pPr>
          </w:p>
        </w:tc>
        <w:tc>
          <w:tcPr>
            <w:tcW w:w="18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4"/>
                <w:szCs w:val="24"/>
                <w:u w:val="none"/>
              </w:rPr>
            </w:pP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4"/>
                <w:szCs w:val="24"/>
                <w:u w:val="none"/>
              </w:rPr>
            </w:pP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74" w:type="dxa"/>
            <w:bottom w:w="17" w:type="dxa"/>
            <w:right w:w="74" w:type="dxa"/>
          </w:tblCellMar>
        </w:tblPrEx>
        <w:trPr>
          <w:trHeight w:val="540" w:hRule="atLeast"/>
          <w:jc w:val="center"/>
        </w:trPr>
        <w:tc>
          <w:tcPr>
            <w:tcW w:w="3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四、社会保险基金预算支出</w:t>
            </w:r>
          </w:p>
        </w:tc>
        <w:tc>
          <w:tcPr>
            <w:tcW w:w="17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4"/>
                <w:szCs w:val="24"/>
                <w:u w:val="none"/>
              </w:rPr>
            </w:pPr>
          </w:p>
        </w:tc>
        <w:tc>
          <w:tcPr>
            <w:tcW w:w="17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4"/>
                <w:szCs w:val="24"/>
                <w:u w:val="none"/>
              </w:rPr>
            </w:pPr>
          </w:p>
        </w:tc>
        <w:tc>
          <w:tcPr>
            <w:tcW w:w="18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4"/>
                <w:szCs w:val="24"/>
                <w:u w:val="none"/>
              </w:rPr>
            </w:pPr>
          </w:p>
        </w:tc>
        <w:tc>
          <w:tcPr>
            <w:tcW w:w="187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4"/>
                <w:szCs w:val="24"/>
                <w:u w:val="none"/>
              </w:rPr>
            </w:pP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i w:val="0"/>
                <w:color w:val="000000"/>
                <w:sz w:val="24"/>
                <w:szCs w:val="24"/>
                <w:u w:val="none"/>
              </w:rPr>
            </w:pPr>
          </w:p>
        </w:tc>
      </w:tr>
    </w:tbl>
    <w:p>
      <w:pPr>
        <w:pStyle w:val="2"/>
      </w:pPr>
    </w:p>
    <w:tbl>
      <w:tblPr>
        <w:tblW w:w="13720" w:type="dxa"/>
        <w:jc w:val="center"/>
        <w:tblInd w:w="7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7" w:type="dxa"/>
          <w:left w:w="45" w:type="dxa"/>
          <w:bottom w:w="17" w:type="dxa"/>
          <w:right w:w="45" w:type="dxa"/>
        </w:tblCellMar>
      </w:tblPr>
      <w:tblGrid>
        <w:gridCol w:w="2573"/>
        <w:gridCol w:w="1296"/>
        <w:gridCol w:w="1091"/>
        <w:gridCol w:w="1090"/>
        <w:gridCol w:w="1125"/>
        <w:gridCol w:w="2506"/>
        <w:gridCol w:w="1023"/>
        <w:gridCol w:w="1108"/>
        <w:gridCol w:w="1023"/>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7" w:type="dxa"/>
            <w:left w:w="45" w:type="dxa"/>
            <w:bottom w:w="17" w:type="dxa"/>
            <w:right w:w="45" w:type="dxa"/>
          </w:tblCellMar>
        </w:tblPrEx>
        <w:trPr>
          <w:trHeight w:val="510" w:hRule="atLeast"/>
          <w:jc w:val="center"/>
        </w:trPr>
        <w:tc>
          <w:tcPr>
            <w:tcW w:w="2573" w:type="dxa"/>
            <w:shd w:val="clear"/>
            <w:vAlign w:val="center"/>
          </w:tcPr>
          <w:p>
            <w:pPr>
              <w:keepNext w:val="0"/>
              <w:keepLines w:val="0"/>
              <w:widowControl/>
              <w:suppressLineNumbers w:val="0"/>
              <w:jc w:val="left"/>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附表二：</w:t>
            </w:r>
          </w:p>
        </w:tc>
        <w:tc>
          <w:tcPr>
            <w:tcW w:w="1296" w:type="dxa"/>
            <w:shd w:val="clear"/>
            <w:vAlign w:val="center"/>
          </w:tcPr>
          <w:p>
            <w:pPr>
              <w:rPr>
                <w:rFonts w:hint="eastAsia" w:ascii="宋体" w:hAnsi="宋体" w:eastAsia="宋体" w:cs="宋体"/>
                <w:i w:val="0"/>
                <w:color w:val="000000"/>
                <w:sz w:val="24"/>
                <w:szCs w:val="24"/>
                <w:u w:val="none"/>
              </w:rPr>
            </w:pPr>
          </w:p>
        </w:tc>
        <w:tc>
          <w:tcPr>
            <w:tcW w:w="1091" w:type="dxa"/>
            <w:shd w:val="clear"/>
            <w:vAlign w:val="center"/>
          </w:tcPr>
          <w:p>
            <w:pPr>
              <w:rPr>
                <w:rFonts w:hint="eastAsia" w:ascii="宋体" w:hAnsi="宋体" w:eastAsia="宋体" w:cs="宋体"/>
                <w:i w:val="0"/>
                <w:color w:val="000000"/>
                <w:sz w:val="24"/>
                <w:szCs w:val="24"/>
                <w:u w:val="none"/>
              </w:rPr>
            </w:pPr>
          </w:p>
        </w:tc>
        <w:tc>
          <w:tcPr>
            <w:tcW w:w="1090" w:type="dxa"/>
            <w:shd w:val="clear"/>
            <w:vAlign w:val="center"/>
          </w:tcPr>
          <w:p>
            <w:pPr>
              <w:rPr>
                <w:rFonts w:hint="eastAsia" w:ascii="宋体" w:hAnsi="宋体" w:eastAsia="宋体" w:cs="宋体"/>
                <w:i w:val="0"/>
                <w:color w:val="000000"/>
                <w:sz w:val="24"/>
                <w:szCs w:val="24"/>
                <w:u w:val="none"/>
              </w:rPr>
            </w:pPr>
          </w:p>
        </w:tc>
        <w:tc>
          <w:tcPr>
            <w:tcW w:w="1125" w:type="dxa"/>
            <w:shd w:val="clear"/>
            <w:vAlign w:val="center"/>
          </w:tcPr>
          <w:p>
            <w:pPr>
              <w:rPr>
                <w:rFonts w:hint="eastAsia" w:ascii="宋体" w:hAnsi="宋体" w:eastAsia="宋体" w:cs="宋体"/>
                <w:i w:val="0"/>
                <w:color w:val="000000"/>
                <w:sz w:val="24"/>
                <w:szCs w:val="24"/>
                <w:u w:val="none"/>
              </w:rPr>
            </w:pPr>
          </w:p>
        </w:tc>
        <w:tc>
          <w:tcPr>
            <w:tcW w:w="2506" w:type="dxa"/>
            <w:shd w:val="clear"/>
            <w:vAlign w:val="center"/>
          </w:tcPr>
          <w:p>
            <w:pPr>
              <w:rPr>
                <w:rFonts w:hint="eastAsia" w:ascii="宋体" w:hAnsi="宋体" w:eastAsia="宋体" w:cs="宋体"/>
                <w:i w:val="0"/>
                <w:color w:val="000000"/>
                <w:sz w:val="24"/>
                <w:szCs w:val="24"/>
                <w:u w:val="none"/>
              </w:rPr>
            </w:pPr>
          </w:p>
        </w:tc>
        <w:tc>
          <w:tcPr>
            <w:tcW w:w="1023" w:type="dxa"/>
            <w:shd w:val="clear"/>
            <w:vAlign w:val="center"/>
          </w:tcPr>
          <w:p>
            <w:pPr>
              <w:rPr>
                <w:rFonts w:hint="eastAsia" w:ascii="宋体" w:hAnsi="宋体" w:eastAsia="宋体" w:cs="宋体"/>
                <w:i w:val="0"/>
                <w:color w:val="000000"/>
                <w:sz w:val="24"/>
                <w:szCs w:val="24"/>
                <w:u w:val="none"/>
              </w:rPr>
            </w:pPr>
          </w:p>
        </w:tc>
        <w:tc>
          <w:tcPr>
            <w:tcW w:w="1108" w:type="dxa"/>
            <w:shd w:val="clear"/>
            <w:vAlign w:val="center"/>
          </w:tcPr>
          <w:p>
            <w:pPr>
              <w:rPr>
                <w:rFonts w:hint="eastAsia" w:ascii="宋体" w:hAnsi="宋体" w:eastAsia="宋体" w:cs="宋体"/>
                <w:i w:val="0"/>
                <w:color w:val="000000"/>
                <w:sz w:val="24"/>
                <w:szCs w:val="24"/>
                <w:u w:val="none"/>
              </w:rPr>
            </w:pPr>
          </w:p>
        </w:tc>
        <w:tc>
          <w:tcPr>
            <w:tcW w:w="1023" w:type="dxa"/>
            <w:shd w:val="clear"/>
            <w:vAlign w:val="center"/>
          </w:tcPr>
          <w:p>
            <w:pPr>
              <w:rPr>
                <w:rFonts w:hint="eastAsia" w:ascii="宋体" w:hAnsi="宋体" w:eastAsia="宋体" w:cs="宋体"/>
                <w:i w:val="0"/>
                <w:color w:val="000000"/>
                <w:sz w:val="24"/>
                <w:szCs w:val="24"/>
                <w:u w:val="none"/>
              </w:rPr>
            </w:pPr>
          </w:p>
        </w:tc>
        <w:tc>
          <w:tcPr>
            <w:tcW w:w="885" w:type="dxa"/>
            <w:shd w:val="cle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45" w:type="dxa"/>
            <w:bottom w:w="17" w:type="dxa"/>
            <w:right w:w="45" w:type="dxa"/>
          </w:tblCellMar>
        </w:tblPrEx>
        <w:trPr>
          <w:trHeight w:val="523" w:hRule="atLeast"/>
          <w:jc w:val="center"/>
        </w:trPr>
        <w:tc>
          <w:tcPr>
            <w:tcW w:w="13720" w:type="dxa"/>
            <w:gridSpan w:val="10"/>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2019年沙坡头区一般公共预算收支总表（草案）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45" w:type="dxa"/>
            <w:bottom w:w="17" w:type="dxa"/>
            <w:right w:w="45" w:type="dxa"/>
          </w:tblCellMar>
        </w:tblPrEx>
        <w:trPr>
          <w:trHeight w:val="388" w:hRule="atLeast"/>
          <w:jc w:val="center"/>
        </w:trPr>
        <w:tc>
          <w:tcPr>
            <w:tcW w:w="2573" w:type="dxa"/>
            <w:shd w:val="clear"/>
            <w:vAlign w:val="center"/>
          </w:tcPr>
          <w:p>
            <w:pPr>
              <w:keepNext w:val="0"/>
              <w:keepLines w:val="0"/>
              <w:pageBreakBefore w:val="0"/>
              <w:widowControl/>
              <w:kinsoku/>
              <w:wordWrap/>
              <w:overflowPunct/>
              <w:topLinePunct w:val="0"/>
              <w:autoSpaceDE/>
              <w:autoSpaceDN/>
              <w:bidi w:val="0"/>
              <w:adjustRightInd/>
              <w:snapToGrid/>
              <w:spacing w:line="320" w:lineRule="exact"/>
              <w:jc w:val="left"/>
              <w:outlineLvl w:val="9"/>
              <w:rPr>
                <w:rFonts w:hint="default" w:ascii="Times New Roman" w:hAnsi="Times New Roman" w:eastAsia="宋体" w:cs="Times New Roman"/>
                <w:i w:val="0"/>
                <w:color w:val="000000"/>
                <w:sz w:val="20"/>
                <w:szCs w:val="20"/>
                <w:u w:val="none"/>
              </w:rPr>
            </w:pPr>
          </w:p>
        </w:tc>
        <w:tc>
          <w:tcPr>
            <w:tcW w:w="1296" w:type="dxa"/>
            <w:shd w:val="clear"/>
            <w:vAlign w:val="center"/>
          </w:tcPr>
          <w:p>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eastAsia="宋体" w:cs="Times New Roman"/>
                <w:b/>
                <w:i w:val="0"/>
                <w:color w:val="000000"/>
                <w:sz w:val="40"/>
                <w:szCs w:val="40"/>
                <w:u w:val="none"/>
              </w:rPr>
            </w:pPr>
          </w:p>
        </w:tc>
        <w:tc>
          <w:tcPr>
            <w:tcW w:w="1091" w:type="dxa"/>
            <w:shd w:val="clear"/>
            <w:vAlign w:val="center"/>
          </w:tcPr>
          <w:p>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eastAsia="宋体" w:cs="Times New Roman"/>
                <w:b/>
                <w:i w:val="0"/>
                <w:color w:val="000000"/>
                <w:sz w:val="40"/>
                <w:szCs w:val="40"/>
                <w:u w:val="none"/>
              </w:rPr>
            </w:pPr>
          </w:p>
        </w:tc>
        <w:tc>
          <w:tcPr>
            <w:tcW w:w="1090" w:type="dxa"/>
            <w:shd w:val="clear"/>
            <w:vAlign w:val="center"/>
          </w:tcPr>
          <w:p>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eastAsia="宋体" w:cs="Times New Roman"/>
                <w:b/>
                <w:i w:val="0"/>
                <w:color w:val="000000"/>
                <w:sz w:val="40"/>
                <w:szCs w:val="40"/>
                <w:u w:val="none"/>
              </w:rPr>
            </w:pPr>
          </w:p>
        </w:tc>
        <w:tc>
          <w:tcPr>
            <w:tcW w:w="1125" w:type="dxa"/>
            <w:shd w:val="clear"/>
            <w:vAlign w:val="center"/>
          </w:tcPr>
          <w:p>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eastAsia="宋体" w:cs="Times New Roman"/>
                <w:b/>
                <w:i w:val="0"/>
                <w:color w:val="000000"/>
                <w:sz w:val="40"/>
                <w:szCs w:val="40"/>
                <w:u w:val="none"/>
              </w:rPr>
            </w:pPr>
          </w:p>
        </w:tc>
        <w:tc>
          <w:tcPr>
            <w:tcW w:w="2506" w:type="dxa"/>
            <w:shd w:val="clear"/>
            <w:vAlign w:val="center"/>
          </w:tcPr>
          <w:p>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eastAsia="宋体" w:cs="Times New Roman"/>
                <w:b/>
                <w:i w:val="0"/>
                <w:color w:val="000000"/>
                <w:sz w:val="40"/>
                <w:szCs w:val="40"/>
                <w:u w:val="none"/>
              </w:rPr>
            </w:pPr>
          </w:p>
        </w:tc>
        <w:tc>
          <w:tcPr>
            <w:tcW w:w="1023" w:type="dxa"/>
            <w:shd w:val="clear"/>
            <w:vAlign w:val="center"/>
          </w:tcPr>
          <w:p>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eastAsia="宋体" w:cs="Times New Roman"/>
                <w:b/>
                <w:i w:val="0"/>
                <w:color w:val="000000"/>
                <w:sz w:val="40"/>
                <w:szCs w:val="40"/>
                <w:u w:val="none"/>
              </w:rPr>
            </w:pPr>
          </w:p>
        </w:tc>
        <w:tc>
          <w:tcPr>
            <w:tcW w:w="1108" w:type="dxa"/>
            <w:shd w:val="clear"/>
            <w:vAlign w:val="center"/>
          </w:tcPr>
          <w:p>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default" w:ascii="Times New Roman" w:hAnsi="Times New Roman" w:eastAsia="宋体" w:cs="Times New Roman"/>
                <w:b/>
                <w:i w:val="0"/>
                <w:color w:val="000000"/>
                <w:sz w:val="40"/>
                <w:szCs w:val="40"/>
                <w:u w:val="none"/>
              </w:rPr>
            </w:pPr>
          </w:p>
        </w:tc>
        <w:tc>
          <w:tcPr>
            <w:tcW w:w="1908" w:type="dxa"/>
            <w:gridSpan w:val="2"/>
            <w:tcBorders>
              <w:bottom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outlineLvl w:val="9"/>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45" w:type="dxa"/>
            <w:bottom w:w="17" w:type="dxa"/>
            <w:right w:w="45" w:type="dxa"/>
          </w:tblCellMar>
        </w:tblPrEx>
        <w:trPr>
          <w:trHeight w:val="597" w:hRule="atLeast"/>
          <w:jc w:val="center"/>
        </w:trPr>
        <w:tc>
          <w:tcPr>
            <w:tcW w:w="717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w:t>
            </w:r>
            <w:r>
              <w:rPr>
                <w:rFonts w:hint="default" w:ascii="Times New Roman" w:hAnsi="Times New Roman" w:eastAsia="宋体" w:cs="Times New Roman"/>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t>入</w:t>
            </w:r>
          </w:p>
        </w:tc>
        <w:tc>
          <w:tcPr>
            <w:tcW w:w="5660"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w:t>
            </w:r>
            <w:r>
              <w:rPr>
                <w:rFonts w:hint="default" w:ascii="Times New Roman" w:hAnsi="Times New Roman" w:eastAsia="宋体" w:cs="Times New Roman"/>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t>出</w:t>
            </w:r>
          </w:p>
        </w:tc>
        <w:tc>
          <w:tcPr>
            <w:tcW w:w="8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 xml:space="preserve">备 </w:t>
            </w:r>
            <w:r>
              <w:rPr>
                <w:rFonts w:hint="eastAsia" w:ascii="宋体" w:hAnsi="宋体" w:eastAsia="宋体" w:cs="宋体"/>
                <w:b/>
                <w:bCs/>
                <w:i w:val="0"/>
                <w:color w:val="000000"/>
                <w:kern w:val="0"/>
                <w:sz w:val="24"/>
                <w:szCs w:val="24"/>
                <w:u w:val="none"/>
                <w:lang w:val="en-US" w:eastAsia="zh-CN" w:bidi="ar"/>
              </w:rPr>
              <w:t>注</w:t>
            </w: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45" w:type="dxa"/>
            <w:bottom w:w="17" w:type="dxa"/>
            <w:right w:w="45" w:type="dxa"/>
          </w:tblCellMar>
        </w:tblPrEx>
        <w:trPr>
          <w:trHeight w:val="848" w:hRule="atLeast"/>
          <w:jc w:val="center"/>
        </w:trPr>
        <w:tc>
          <w:tcPr>
            <w:tcW w:w="25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项</w:t>
            </w:r>
            <w:r>
              <w:rPr>
                <w:rFonts w:hint="default" w:ascii="Times New Roman" w:hAnsi="Times New Roman" w:eastAsia="宋体" w:cs="Times New Roman"/>
                <w:b/>
                <w:bCs/>
                <w:i w:val="0"/>
                <w:color w:val="000000"/>
                <w:kern w:val="0"/>
                <w:sz w:val="24"/>
                <w:szCs w:val="24"/>
                <w:u w:val="none"/>
                <w:lang w:val="en-US" w:eastAsia="zh-CN" w:bidi="ar"/>
              </w:rPr>
              <w:t xml:space="preserve">     </w:t>
            </w:r>
            <w:r>
              <w:rPr>
                <w:rFonts w:hint="eastAsia" w:ascii="宋体" w:hAnsi="宋体" w:eastAsia="宋体" w:cs="宋体"/>
                <w:b/>
                <w:bCs/>
                <w:i w:val="0"/>
                <w:color w:val="000000"/>
                <w:kern w:val="0"/>
                <w:sz w:val="24"/>
                <w:szCs w:val="24"/>
                <w:u w:val="none"/>
                <w:lang w:val="en-US" w:eastAsia="zh-CN" w:bidi="ar"/>
              </w:rPr>
              <w:t>目</w:t>
            </w:r>
          </w:p>
        </w:tc>
        <w:tc>
          <w:tcPr>
            <w:tcW w:w="12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2018</w:t>
            </w:r>
            <w:r>
              <w:rPr>
                <w:rFonts w:hint="eastAsia" w:ascii="宋体" w:hAnsi="宋体" w:eastAsia="宋体" w:cs="宋体"/>
                <w:b/>
                <w:bCs/>
                <w:i w:val="0"/>
                <w:color w:val="000000"/>
                <w:kern w:val="0"/>
                <w:sz w:val="24"/>
                <w:szCs w:val="24"/>
                <w:u w:val="none"/>
                <w:lang w:val="en-US" w:eastAsia="zh-CN" w:bidi="ar"/>
              </w:rPr>
              <w:t>年</w:t>
            </w:r>
          </w:p>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预算数</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2018</w:t>
            </w:r>
            <w:r>
              <w:rPr>
                <w:rFonts w:hint="eastAsia" w:ascii="宋体" w:hAnsi="宋体" w:eastAsia="宋体" w:cs="宋体"/>
                <w:b/>
                <w:bCs/>
                <w:i w:val="0"/>
                <w:color w:val="000000"/>
                <w:kern w:val="0"/>
                <w:sz w:val="24"/>
                <w:szCs w:val="24"/>
                <w:u w:val="none"/>
                <w:lang w:val="en-US" w:eastAsia="zh-CN" w:bidi="ar"/>
              </w:rPr>
              <w:t>年</w:t>
            </w:r>
          </w:p>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完成数</w:t>
            </w:r>
          </w:p>
        </w:tc>
        <w:tc>
          <w:tcPr>
            <w:tcW w:w="10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2019</w:t>
            </w:r>
            <w:r>
              <w:rPr>
                <w:rFonts w:hint="eastAsia" w:ascii="宋体" w:hAnsi="宋体" w:eastAsia="宋体" w:cs="宋体"/>
                <w:b/>
                <w:bCs/>
                <w:i w:val="0"/>
                <w:color w:val="000000"/>
                <w:kern w:val="0"/>
                <w:sz w:val="24"/>
                <w:szCs w:val="24"/>
                <w:u w:val="none"/>
                <w:lang w:val="en-US" w:eastAsia="zh-CN" w:bidi="ar"/>
              </w:rPr>
              <w:t>年</w:t>
            </w:r>
          </w:p>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安排数</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增减</w:t>
            </w:r>
          </w:p>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w:t>
            </w:r>
            <w:r>
              <w:rPr>
                <w:rFonts w:hint="default" w:ascii="Times New Roman" w:hAnsi="Times New Roman" w:eastAsia="宋体" w:cs="Times New Roman"/>
                <w:b/>
                <w:bCs/>
                <w:i w:val="0"/>
                <w:color w:val="000000"/>
                <w:kern w:val="0"/>
                <w:sz w:val="24"/>
                <w:szCs w:val="24"/>
                <w:u w:val="none"/>
                <w:lang w:val="en-US" w:eastAsia="zh-CN" w:bidi="ar"/>
              </w:rPr>
              <w:t>%</w:t>
            </w:r>
            <w:r>
              <w:rPr>
                <w:rFonts w:hint="eastAsia" w:ascii="宋体" w:hAnsi="宋体" w:eastAsia="宋体" w:cs="宋体"/>
                <w:b/>
                <w:bCs/>
                <w:i w:val="0"/>
                <w:color w:val="000000"/>
                <w:kern w:val="0"/>
                <w:sz w:val="24"/>
                <w:szCs w:val="24"/>
                <w:u w:val="none"/>
                <w:lang w:val="en-US" w:eastAsia="zh-CN" w:bidi="ar"/>
              </w:rPr>
              <w:t>）</w:t>
            </w:r>
          </w:p>
        </w:tc>
        <w:tc>
          <w:tcPr>
            <w:tcW w:w="2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项</w:t>
            </w:r>
            <w:r>
              <w:rPr>
                <w:rFonts w:hint="default" w:ascii="Times New Roman" w:hAnsi="Times New Roman" w:eastAsia="宋体" w:cs="Times New Roman"/>
                <w:b/>
                <w:bCs/>
                <w:i w:val="0"/>
                <w:color w:val="000000"/>
                <w:kern w:val="0"/>
                <w:sz w:val="24"/>
                <w:szCs w:val="24"/>
                <w:u w:val="none"/>
                <w:lang w:val="en-US" w:eastAsia="zh-CN" w:bidi="ar"/>
              </w:rPr>
              <w:t xml:space="preserve">    </w:t>
            </w:r>
            <w:r>
              <w:rPr>
                <w:rFonts w:hint="eastAsia" w:ascii="宋体" w:hAnsi="宋体" w:eastAsia="宋体" w:cs="宋体"/>
                <w:b/>
                <w:bCs/>
                <w:i w:val="0"/>
                <w:color w:val="000000"/>
                <w:kern w:val="0"/>
                <w:sz w:val="24"/>
                <w:szCs w:val="24"/>
                <w:u w:val="none"/>
                <w:lang w:val="en-US" w:eastAsia="zh-CN" w:bidi="ar"/>
              </w:rPr>
              <w:t>目</w:t>
            </w:r>
          </w:p>
        </w:tc>
        <w:tc>
          <w:tcPr>
            <w:tcW w:w="1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2018</w:t>
            </w:r>
            <w:r>
              <w:rPr>
                <w:rFonts w:hint="eastAsia" w:ascii="宋体" w:hAnsi="宋体" w:eastAsia="宋体" w:cs="宋体"/>
                <w:b/>
                <w:bCs/>
                <w:i w:val="0"/>
                <w:color w:val="000000"/>
                <w:kern w:val="0"/>
                <w:sz w:val="24"/>
                <w:szCs w:val="24"/>
                <w:u w:val="none"/>
                <w:lang w:val="en-US" w:eastAsia="zh-CN" w:bidi="ar"/>
              </w:rPr>
              <w:t>年</w:t>
            </w:r>
          </w:p>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预算数</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2019</w:t>
            </w:r>
            <w:r>
              <w:rPr>
                <w:rFonts w:hint="eastAsia" w:ascii="宋体" w:hAnsi="宋体" w:eastAsia="宋体" w:cs="宋体"/>
                <w:b/>
                <w:bCs/>
                <w:i w:val="0"/>
                <w:color w:val="000000"/>
                <w:kern w:val="0"/>
                <w:sz w:val="24"/>
                <w:szCs w:val="24"/>
                <w:u w:val="none"/>
                <w:lang w:val="en-US" w:eastAsia="zh-CN" w:bidi="ar"/>
              </w:rPr>
              <w:t>年</w:t>
            </w:r>
          </w:p>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安排数</w:t>
            </w:r>
          </w:p>
        </w:tc>
        <w:tc>
          <w:tcPr>
            <w:tcW w:w="1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增减</w:t>
            </w:r>
          </w:p>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w:t>
            </w:r>
            <w:r>
              <w:rPr>
                <w:rFonts w:hint="default" w:ascii="Times New Roman" w:hAnsi="Times New Roman" w:eastAsia="宋体" w:cs="Times New Roman"/>
                <w:b/>
                <w:bCs/>
                <w:i w:val="0"/>
                <w:color w:val="000000"/>
                <w:kern w:val="0"/>
                <w:sz w:val="24"/>
                <w:szCs w:val="24"/>
                <w:u w:val="none"/>
                <w:lang w:val="en-US" w:eastAsia="zh-CN" w:bidi="ar"/>
              </w:rPr>
              <w:t>%</w:t>
            </w:r>
            <w:r>
              <w:rPr>
                <w:rFonts w:hint="eastAsia" w:ascii="宋体" w:hAnsi="宋体" w:eastAsia="宋体" w:cs="宋体"/>
                <w:b/>
                <w:bCs/>
                <w:i w:val="0"/>
                <w:color w:val="000000"/>
                <w:kern w:val="0"/>
                <w:sz w:val="24"/>
                <w:szCs w:val="24"/>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45" w:type="dxa"/>
            <w:bottom w:w="17" w:type="dxa"/>
            <w:right w:w="45" w:type="dxa"/>
          </w:tblCellMar>
        </w:tblPrEx>
        <w:trPr>
          <w:trHeight w:val="690" w:hRule="atLeast"/>
          <w:jc w:val="center"/>
        </w:trPr>
        <w:tc>
          <w:tcPr>
            <w:tcW w:w="25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w:t>
            </w:r>
            <w:r>
              <w:rPr>
                <w:rFonts w:hint="default" w:ascii="Times New Roman" w:hAnsi="Times New Roman" w:eastAsia="宋体" w:cs="Times New Roman"/>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t>计</w:t>
            </w:r>
          </w:p>
        </w:tc>
        <w:tc>
          <w:tcPr>
            <w:tcW w:w="12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 39,300 </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 123,006 </w:t>
            </w:r>
          </w:p>
        </w:tc>
        <w:tc>
          <w:tcPr>
            <w:tcW w:w="10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 42,250 </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7.51 </w:t>
            </w:r>
          </w:p>
        </w:tc>
        <w:tc>
          <w:tcPr>
            <w:tcW w:w="2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w:t>
            </w:r>
            <w:r>
              <w:rPr>
                <w:rFonts w:hint="default" w:ascii="Times New Roman" w:hAnsi="Times New Roman" w:eastAsia="宋体" w:cs="Times New Roman"/>
                <w:b/>
                <w:i w:val="0"/>
                <w:color w:val="000000"/>
                <w:kern w:val="0"/>
                <w:sz w:val="24"/>
                <w:szCs w:val="24"/>
                <w:u w:val="none"/>
                <w:lang w:val="en-US" w:eastAsia="zh-CN" w:bidi="ar"/>
              </w:rPr>
              <w:t xml:space="preserve">合   </w:t>
            </w:r>
            <w:r>
              <w:rPr>
                <w:rFonts w:hint="eastAsia" w:ascii="宋体" w:hAnsi="宋体" w:eastAsia="宋体" w:cs="宋体"/>
                <w:b/>
                <w:i w:val="0"/>
                <w:color w:val="000000"/>
                <w:kern w:val="0"/>
                <w:sz w:val="24"/>
                <w:szCs w:val="24"/>
                <w:u w:val="none"/>
                <w:lang w:val="en-US" w:eastAsia="zh-CN" w:bidi="ar"/>
              </w:rPr>
              <w:t xml:space="preserve"> 计 </w:t>
            </w:r>
          </w:p>
        </w:tc>
        <w:tc>
          <w:tcPr>
            <w:tcW w:w="1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 39,300 </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 42,250 </w:t>
            </w:r>
          </w:p>
        </w:tc>
        <w:tc>
          <w:tcPr>
            <w:tcW w:w="1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7.51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45" w:type="dxa"/>
            <w:bottom w:w="17" w:type="dxa"/>
            <w:right w:w="45" w:type="dxa"/>
          </w:tblCellMar>
        </w:tblPrEx>
        <w:trPr>
          <w:trHeight w:val="873" w:hRule="atLeast"/>
          <w:jc w:val="center"/>
        </w:trPr>
        <w:tc>
          <w:tcPr>
            <w:tcW w:w="25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本级一般公共预算收入</w:t>
            </w:r>
          </w:p>
        </w:tc>
        <w:tc>
          <w:tcPr>
            <w:tcW w:w="12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32,135 </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27,154 </w:t>
            </w:r>
          </w:p>
        </w:tc>
        <w:tc>
          <w:tcPr>
            <w:tcW w:w="10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31,030 </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14.27 </w:t>
            </w:r>
          </w:p>
        </w:tc>
        <w:tc>
          <w:tcPr>
            <w:tcW w:w="2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基本支出和运转经费 </w:t>
            </w:r>
          </w:p>
        </w:tc>
        <w:tc>
          <w:tcPr>
            <w:tcW w:w="1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22,000 </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23,250 </w:t>
            </w:r>
          </w:p>
        </w:tc>
        <w:tc>
          <w:tcPr>
            <w:tcW w:w="1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5.68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8"/>
                <w:szCs w:val="18"/>
                <w:u w:val="none"/>
                <w:lang w:val="en-US" w:eastAsia="zh-CN" w:bidi="ar"/>
              </w:rPr>
              <w:t>本级收入与上年完成数对比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45" w:type="dxa"/>
            <w:bottom w:w="17" w:type="dxa"/>
            <w:right w:w="45" w:type="dxa"/>
          </w:tblCellMar>
        </w:tblPrEx>
        <w:trPr>
          <w:trHeight w:val="690" w:hRule="atLeast"/>
          <w:jc w:val="center"/>
        </w:trPr>
        <w:tc>
          <w:tcPr>
            <w:tcW w:w="25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市级财力性转移支付</w:t>
            </w:r>
          </w:p>
        </w:tc>
        <w:tc>
          <w:tcPr>
            <w:tcW w:w="12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7,165 </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84,662 </w:t>
            </w:r>
          </w:p>
        </w:tc>
        <w:tc>
          <w:tcPr>
            <w:tcW w:w="10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11,220 </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56.59 </w:t>
            </w:r>
          </w:p>
        </w:tc>
        <w:tc>
          <w:tcPr>
            <w:tcW w:w="2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公共管理类支出 </w:t>
            </w:r>
          </w:p>
        </w:tc>
        <w:tc>
          <w:tcPr>
            <w:tcW w:w="1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7,920 </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7,934 </w:t>
            </w:r>
          </w:p>
        </w:tc>
        <w:tc>
          <w:tcPr>
            <w:tcW w:w="1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0.18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45" w:type="dxa"/>
            <w:bottom w:w="17" w:type="dxa"/>
            <w:right w:w="45" w:type="dxa"/>
          </w:tblCellMar>
        </w:tblPrEx>
        <w:trPr>
          <w:trHeight w:val="690" w:hRule="atLeast"/>
          <w:jc w:val="center"/>
        </w:trPr>
        <w:tc>
          <w:tcPr>
            <w:tcW w:w="25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均衡性转移支付</w:t>
            </w:r>
          </w:p>
        </w:tc>
        <w:tc>
          <w:tcPr>
            <w:tcW w:w="12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7,165 </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8,387 </w:t>
            </w:r>
          </w:p>
        </w:tc>
        <w:tc>
          <w:tcPr>
            <w:tcW w:w="10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11,220 </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56.59 </w:t>
            </w:r>
          </w:p>
        </w:tc>
        <w:tc>
          <w:tcPr>
            <w:tcW w:w="2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社会服务类支出 </w:t>
            </w:r>
          </w:p>
        </w:tc>
        <w:tc>
          <w:tcPr>
            <w:tcW w:w="1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4,737 </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5,043 </w:t>
            </w:r>
          </w:p>
        </w:tc>
        <w:tc>
          <w:tcPr>
            <w:tcW w:w="1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6.46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45" w:type="dxa"/>
            <w:bottom w:w="17" w:type="dxa"/>
            <w:right w:w="45" w:type="dxa"/>
          </w:tblCellMar>
        </w:tblPrEx>
        <w:trPr>
          <w:trHeight w:val="690" w:hRule="atLeast"/>
          <w:jc w:val="center"/>
        </w:trPr>
        <w:tc>
          <w:tcPr>
            <w:tcW w:w="25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专项转移支付</w:t>
            </w:r>
          </w:p>
        </w:tc>
        <w:tc>
          <w:tcPr>
            <w:tcW w:w="129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76,275 </w:t>
            </w:r>
          </w:p>
        </w:tc>
        <w:tc>
          <w:tcPr>
            <w:tcW w:w="109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2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农业与农村类支出 </w:t>
            </w:r>
          </w:p>
        </w:tc>
        <w:tc>
          <w:tcPr>
            <w:tcW w:w="1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4,643 </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6,023 </w:t>
            </w:r>
          </w:p>
        </w:tc>
        <w:tc>
          <w:tcPr>
            <w:tcW w:w="1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29.72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45" w:type="dxa"/>
            <w:bottom w:w="17" w:type="dxa"/>
            <w:right w:w="45" w:type="dxa"/>
          </w:tblCellMar>
        </w:tblPrEx>
        <w:trPr>
          <w:trHeight w:val="690" w:hRule="atLeast"/>
          <w:jc w:val="center"/>
        </w:trPr>
        <w:tc>
          <w:tcPr>
            <w:tcW w:w="25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提前下达专项转移支付</w:t>
            </w:r>
          </w:p>
        </w:tc>
        <w:tc>
          <w:tcPr>
            <w:tcW w:w="129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109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250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i w:val="0"/>
                <w:color w:val="000000"/>
                <w:sz w:val="24"/>
                <w:szCs w:val="24"/>
                <w:u w:val="none"/>
              </w:rPr>
            </w:pPr>
          </w:p>
        </w:tc>
        <w:tc>
          <w:tcPr>
            <w:tcW w:w="1023"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i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i w:val="0"/>
                <w:color w:val="000000"/>
                <w:sz w:val="24"/>
                <w:szCs w:val="24"/>
                <w:u w:val="none"/>
              </w:rPr>
            </w:pPr>
          </w:p>
        </w:tc>
        <w:tc>
          <w:tcPr>
            <w:tcW w:w="1023"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45" w:type="dxa"/>
            <w:bottom w:w="17" w:type="dxa"/>
            <w:right w:w="45" w:type="dxa"/>
          </w:tblCellMar>
        </w:tblPrEx>
        <w:trPr>
          <w:trHeight w:val="690" w:hRule="atLeast"/>
          <w:jc w:val="center"/>
        </w:trPr>
        <w:tc>
          <w:tcPr>
            <w:tcW w:w="25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一般债务转贷收入</w:t>
            </w:r>
          </w:p>
        </w:tc>
        <w:tc>
          <w:tcPr>
            <w:tcW w:w="129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11,190 </w:t>
            </w:r>
          </w:p>
        </w:tc>
        <w:tc>
          <w:tcPr>
            <w:tcW w:w="109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250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i w:val="0"/>
                <w:color w:val="000000"/>
                <w:sz w:val="24"/>
                <w:szCs w:val="24"/>
                <w:u w:val="none"/>
              </w:rPr>
            </w:pPr>
          </w:p>
        </w:tc>
        <w:tc>
          <w:tcPr>
            <w:tcW w:w="1023"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i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i w:val="0"/>
                <w:color w:val="000000"/>
                <w:sz w:val="24"/>
                <w:szCs w:val="24"/>
                <w:u w:val="none"/>
              </w:rPr>
            </w:pPr>
          </w:p>
        </w:tc>
        <w:tc>
          <w:tcPr>
            <w:tcW w:w="1023"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i w:val="0"/>
                <w:color w:val="000000"/>
                <w:sz w:val="24"/>
                <w:szCs w:val="24"/>
                <w:u w:val="none"/>
              </w:rPr>
            </w:pPr>
          </w:p>
        </w:tc>
      </w:tr>
    </w:tbl>
    <w:p>
      <w:pPr>
        <w:pStyle w:val="2"/>
        <w:rPr>
          <w:rFonts w:eastAsia="仿宋_GB2312"/>
          <w:sz w:val="32"/>
          <w:szCs w:val="32"/>
        </w:rPr>
        <w:sectPr>
          <w:pgSz w:w="16838" w:h="11906" w:orient="landscape"/>
          <w:pgMar w:top="1531" w:right="1531" w:bottom="1417" w:left="1531" w:header="851" w:footer="1247" w:gutter="0"/>
          <w:paperSrc/>
          <w:pgNumType w:fmt="decimal"/>
          <w:cols w:space="0" w:num="1"/>
          <w:rtlGutter w:val="0"/>
          <w:docGrid w:type="lines" w:linePitch="315" w:charSpace="0"/>
        </w:sectPr>
      </w:pPr>
    </w:p>
    <w:tbl>
      <w:tblPr>
        <w:tblW w:w="9100" w:type="dxa"/>
        <w:jc w:val="center"/>
        <w:tblInd w:w="-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7" w:type="dxa"/>
          <w:left w:w="68" w:type="dxa"/>
          <w:bottom w:w="17" w:type="dxa"/>
          <w:right w:w="68" w:type="dxa"/>
        </w:tblCellMar>
      </w:tblPr>
      <w:tblGrid>
        <w:gridCol w:w="6"/>
        <w:gridCol w:w="23"/>
        <w:gridCol w:w="2235"/>
        <w:gridCol w:w="272"/>
        <w:gridCol w:w="700"/>
        <w:gridCol w:w="195"/>
        <w:gridCol w:w="575"/>
        <w:gridCol w:w="201"/>
        <w:gridCol w:w="149"/>
        <w:gridCol w:w="755"/>
        <w:gridCol w:w="184"/>
        <w:gridCol w:w="1064"/>
        <w:gridCol w:w="115"/>
        <w:gridCol w:w="79"/>
        <w:gridCol w:w="1251"/>
        <w:gridCol w:w="1267"/>
        <w:gridCol w:w="6"/>
        <w:gridCol w:w="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7" w:type="dxa"/>
            <w:left w:w="68" w:type="dxa"/>
            <w:bottom w:w="17" w:type="dxa"/>
            <w:right w:w="68" w:type="dxa"/>
          </w:tblCellMar>
        </w:tblPrEx>
        <w:trPr>
          <w:gridBefore w:val="1"/>
          <w:gridAfter w:val="1"/>
          <w:wBefore w:w="6" w:type="dxa"/>
          <w:wAfter w:w="23" w:type="dxa"/>
          <w:trHeight w:val="345" w:hRule="atLeast"/>
          <w:jc w:val="center"/>
        </w:trPr>
        <w:tc>
          <w:tcPr>
            <w:tcW w:w="2530" w:type="dxa"/>
            <w:gridSpan w:val="3"/>
            <w:shd w:val="clear"/>
            <w:vAlign w:val="center"/>
          </w:tcPr>
          <w:p>
            <w:pPr>
              <w:keepNext w:val="0"/>
              <w:keepLines w:val="0"/>
              <w:widowControl/>
              <w:suppressLineNumbers w:val="0"/>
              <w:jc w:val="left"/>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附表三</w:t>
            </w:r>
          </w:p>
        </w:tc>
        <w:tc>
          <w:tcPr>
            <w:tcW w:w="895" w:type="dxa"/>
            <w:gridSpan w:val="2"/>
            <w:shd w:val="clear"/>
            <w:vAlign w:val="center"/>
          </w:tcPr>
          <w:p>
            <w:pPr>
              <w:rPr>
                <w:rFonts w:hint="eastAsia" w:ascii="宋体" w:hAnsi="宋体" w:eastAsia="宋体" w:cs="宋体"/>
                <w:i w:val="0"/>
                <w:color w:val="000000"/>
                <w:sz w:val="24"/>
                <w:szCs w:val="24"/>
                <w:u w:val="none"/>
              </w:rPr>
            </w:pPr>
          </w:p>
        </w:tc>
        <w:tc>
          <w:tcPr>
            <w:tcW w:w="925" w:type="dxa"/>
            <w:gridSpan w:val="3"/>
            <w:shd w:val="clear"/>
            <w:vAlign w:val="center"/>
          </w:tcPr>
          <w:p>
            <w:pPr>
              <w:rPr>
                <w:rFonts w:hint="eastAsia" w:ascii="宋体" w:hAnsi="宋体" w:eastAsia="宋体" w:cs="宋体"/>
                <w:i w:val="0"/>
                <w:color w:val="000000"/>
                <w:sz w:val="24"/>
                <w:szCs w:val="24"/>
                <w:u w:val="none"/>
              </w:rPr>
            </w:pPr>
          </w:p>
        </w:tc>
        <w:tc>
          <w:tcPr>
            <w:tcW w:w="939" w:type="dxa"/>
            <w:gridSpan w:val="2"/>
            <w:shd w:val="clear"/>
            <w:vAlign w:val="center"/>
          </w:tcPr>
          <w:p>
            <w:pPr>
              <w:rPr>
                <w:rFonts w:hint="eastAsia" w:ascii="宋体" w:hAnsi="宋体" w:eastAsia="宋体" w:cs="宋体"/>
                <w:i w:val="0"/>
                <w:color w:val="000000"/>
                <w:sz w:val="24"/>
                <w:szCs w:val="24"/>
                <w:u w:val="none"/>
              </w:rPr>
            </w:pPr>
          </w:p>
        </w:tc>
        <w:tc>
          <w:tcPr>
            <w:tcW w:w="1258" w:type="dxa"/>
            <w:gridSpan w:val="3"/>
            <w:shd w:val="clear"/>
            <w:vAlign w:val="center"/>
          </w:tcPr>
          <w:p>
            <w:pPr>
              <w:rPr>
                <w:rFonts w:hint="eastAsia" w:ascii="宋体" w:hAnsi="宋体" w:eastAsia="宋体" w:cs="宋体"/>
                <w:i w:val="0"/>
                <w:color w:val="000000"/>
                <w:sz w:val="24"/>
                <w:szCs w:val="24"/>
                <w:u w:val="none"/>
              </w:rPr>
            </w:pPr>
          </w:p>
        </w:tc>
        <w:tc>
          <w:tcPr>
            <w:tcW w:w="2524" w:type="dxa"/>
            <w:gridSpan w:val="3"/>
            <w:shd w:val="cle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68" w:type="dxa"/>
            <w:bottom w:w="17" w:type="dxa"/>
            <w:right w:w="68" w:type="dxa"/>
          </w:tblCellMar>
        </w:tblPrEx>
        <w:trPr>
          <w:gridBefore w:val="1"/>
          <w:gridAfter w:val="1"/>
          <w:wBefore w:w="6" w:type="dxa"/>
          <w:wAfter w:w="23" w:type="dxa"/>
          <w:trHeight w:val="480" w:hRule="atLeast"/>
          <w:jc w:val="center"/>
        </w:trPr>
        <w:tc>
          <w:tcPr>
            <w:tcW w:w="9071" w:type="dxa"/>
            <w:gridSpan w:val="16"/>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2019年沙坡头区一般公共预算收入明细表（草案）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68" w:type="dxa"/>
            <w:bottom w:w="17" w:type="dxa"/>
            <w:right w:w="68" w:type="dxa"/>
          </w:tblCellMar>
        </w:tblPrEx>
        <w:trPr>
          <w:gridBefore w:val="1"/>
          <w:gridAfter w:val="1"/>
          <w:wBefore w:w="6" w:type="dxa"/>
          <w:wAfter w:w="23" w:type="dxa"/>
          <w:trHeight w:val="345" w:hRule="atLeast"/>
          <w:jc w:val="center"/>
        </w:trPr>
        <w:tc>
          <w:tcPr>
            <w:tcW w:w="2530" w:type="dxa"/>
            <w:gridSpan w:val="3"/>
            <w:shd w:val="clear"/>
            <w:vAlign w:val="center"/>
          </w:tcPr>
          <w:p>
            <w:pPr>
              <w:jc w:val="left"/>
              <w:rPr>
                <w:rFonts w:hint="default" w:ascii="Times New Roman" w:hAnsi="Times New Roman" w:eastAsia="宋体" w:cs="Times New Roman"/>
                <w:i w:val="0"/>
                <w:color w:val="000000"/>
                <w:sz w:val="20"/>
                <w:szCs w:val="20"/>
                <w:u w:val="none"/>
              </w:rPr>
            </w:pPr>
          </w:p>
        </w:tc>
        <w:tc>
          <w:tcPr>
            <w:tcW w:w="895" w:type="dxa"/>
            <w:gridSpan w:val="2"/>
            <w:shd w:val="clear"/>
            <w:vAlign w:val="center"/>
          </w:tcPr>
          <w:p>
            <w:pPr>
              <w:jc w:val="left"/>
              <w:rPr>
                <w:rFonts w:hint="default" w:ascii="Times New Roman" w:hAnsi="Times New Roman" w:eastAsia="宋体" w:cs="Times New Roman"/>
                <w:i w:val="0"/>
                <w:color w:val="000000"/>
                <w:sz w:val="20"/>
                <w:szCs w:val="20"/>
                <w:u w:val="none"/>
              </w:rPr>
            </w:pPr>
          </w:p>
        </w:tc>
        <w:tc>
          <w:tcPr>
            <w:tcW w:w="925" w:type="dxa"/>
            <w:gridSpan w:val="3"/>
            <w:shd w:val="clear"/>
            <w:vAlign w:val="center"/>
          </w:tcPr>
          <w:p>
            <w:pPr>
              <w:jc w:val="left"/>
              <w:rPr>
                <w:rFonts w:hint="default" w:ascii="Times New Roman" w:hAnsi="Times New Roman" w:eastAsia="宋体" w:cs="Times New Roman"/>
                <w:i w:val="0"/>
                <w:color w:val="000000"/>
                <w:sz w:val="20"/>
                <w:szCs w:val="20"/>
                <w:u w:val="none"/>
              </w:rPr>
            </w:pPr>
          </w:p>
        </w:tc>
        <w:tc>
          <w:tcPr>
            <w:tcW w:w="939" w:type="dxa"/>
            <w:gridSpan w:val="2"/>
            <w:shd w:val="clear"/>
            <w:vAlign w:val="center"/>
          </w:tcPr>
          <w:p>
            <w:pPr>
              <w:rPr>
                <w:rFonts w:hint="eastAsia" w:ascii="宋体" w:hAnsi="宋体" w:eastAsia="宋体" w:cs="宋体"/>
                <w:i w:val="0"/>
                <w:color w:val="000000"/>
                <w:sz w:val="24"/>
                <w:szCs w:val="24"/>
                <w:u w:val="none"/>
              </w:rPr>
            </w:pPr>
          </w:p>
        </w:tc>
        <w:tc>
          <w:tcPr>
            <w:tcW w:w="1258" w:type="dxa"/>
            <w:gridSpan w:val="3"/>
            <w:shd w:val="clear"/>
            <w:vAlign w:val="center"/>
          </w:tcPr>
          <w:p>
            <w:pPr>
              <w:rPr>
                <w:rFonts w:hint="eastAsia" w:ascii="宋体" w:hAnsi="宋体" w:eastAsia="宋体" w:cs="宋体"/>
                <w:i w:val="0"/>
                <w:color w:val="000000"/>
                <w:sz w:val="24"/>
                <w:szCs w:val="24"/>
                <w:u w:val="none"/>
              </w:rPr>
            </w:pPr>
          </w:p>
        </w:tc>
        <w:tc>
          <w:tcPr>
            <w:tcW w:w="2524" w:type="dxa"/>
            <w:gridSpan w:val="3"/>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68" w:type="dxa"/>
            <w:bottom w:w="17" w:type="dxa"/>
            <w:right w:w="68" w:type="dxa"/>
          </w:tblCellMar>
        </w:tblPrEx>
        <w:trPr>
          <w:gridBefore w:val="1"/>
          <w:gridAfter w:val="1"/>
          <w:wBefore w:w="6" w:type="dxa"/>
          <w:wAfter w:w="23" w:type="dxa"/>
          <w:trHeight w:val="930" w:hRule="atLeast"/>
          <w:jc w:val="center"/>
        </w:trPr>
        <w:tc>
          <w:tcPr>
            <w:tcW w:w="25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w:t>
            </w:r>
            <w:r>
              <w:rPr>
                <w:rFonts w:hint="default" w:ascii="Times New Roman" w:hAnsi="Times New Roman" w:eastAsia="宋体" w:cs="Times New Roman"/>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t>算</w:t>
            </w:r>
            <w:r>
              <w:rPr>
                <w:rFonts w:hint="default" w:ascii="Times New Roman" w:hAnsi="Times New Roman" w:eastAsia="宋体" w:cs="Times New Roman"/>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t>科</w:t>
            </w:r>
            <w:r>
              <w:rPr>
                <w:rFonts w:hint="default" w:ascii="Times New Roman" w:hAnsi="Times New Roman" w:eastAsia="宋体" w:cs="Times New Roman"/>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t>目</w:t>
            </w:r>
          </w:p>
        </w:tc>
        <w:tc>
          <w:tcPr>
            <w:tcW w:w="89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2018</w:t>
            </w:r>
            <w:r>
              <w:rPr>
                <w:rFonts w:hint="eastAsia" w:ascii="宋体" w:hAnsi="宋体" w:eastAsia="宋体" w:cs="宋体"/>
                <w:b/>
                <w:i w:val="0"/>
                <w:color w:val="000000"/>
                <w:kern w:val="0"/>
                <w:sz w:val="24"/>
                <w:szCs w:val="24"/>
                <w:u w:val="none"/>
                <w:lang w:val="en-US" w:eastAsia="zh-CN" w:bidi="ar"/>
              </w:rPr>
              <w:t>年预算数</w:t>
            </w:r>
          </w:p>
        </w:tc>
        <w:tc>
          <w:tcPr>
            <w:tcW w:w="925"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2018</w:t>
            </w:r>
            <w:r>
              <w:rPr>
                <w:rFonts w:hint="eastAsia" w:ascii="宋体" w:hAnsi="宋体" w:eastAsia="宋体" w:cs="宋体"/>
                <w:b/>
                <w:i w:val="0"/>
                <w:color w:val="000000"/>
                <w:kern w:val="0"/>
                <w:sz w:val="24"/>
                <w:szCs w:val="24"/>
                <w:u w:val="none"/>
                <w:lang w:val="en-US" w:eastAsia="zh-CN" w:bidi="ar"/>
              </w:rPr>
              <w:t>年完成数</w:t>
            </w:r>
          </w:p>
        </w:tc>
        <w:tc>
          <w:tcPr>
            <w:tcW w:w="93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2019</w:t>
            </w:r>
            <w:r>
              <w:rPr>
                <w:rFonts w:hint="eastAsia" w:ascii="宋体" w:hAnsi="宋体" w:eastAsia="宋体" w:cs="宋体"/>
                <w:b/>
                <w:i w:val="0"/>
                <w:color w:val="000000"/>
                <w:kern w:val="0"/>
                <w:sz w:val="24"/>
                <w:szCs w:val="24"/>
                <w:u w:val="none"/>
                <w:lang w:val="en-US" w:eastAsia="zh-CN" w:bidi="ar"/>
              </w:rPr>
              <w:t>年预算数</w:t>
            </w:r>
          </w:p>
        </w:tc>
        <w:tc>
          <w:tcPr>
            <w:tcW w:w="125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比上年完成数增减（</w:t>
            </w:r>
            <w:r>
              <w:rPr>
                <w:rFonts w:hint="default" w:ascii="Times New Roman" w:hAnsi="Times New Roman" w:eastAsia="宋体" w:cs="Times New Roman"/>
                <w:b/>
                <w:i w:val="0"/>
                <w:color w:val="000000"/>
                <w:kern w:val="0"/>
                <w:sz w:val="24"/>
                <w:szCs w:val="24"/>
                <w:u w:val="none"/>
                <w:lang w:val="en-US" w:eastAsia="zh-CN" w:bidi="ar"/>
              </w:rPr>
              <w:t>%</w:t>
            </w:r>
            <w:r>
              <w:rPr>
                <w:rFonts w:hint="eastAsia" w:ascii="宋体" w:hAnsi="宋体" w:eastAsia="宋体" w:cs="宋体"/>
                <w:b/>
                <w:i w:val="0"/>
                <w:color w:val="000000"/>
                <w:kern w:val="0"/>
                <w:sz w:val="24"/>
                <w:szCs w:val="24"/>
                <w:u w:val="none"/>
                <w:lang w:val="en-US" w:eastAsia="zh-CN" w:bidi="ar"/>
              </w:rPr>
              <w:t>）</w:t>
            </w:r>
          </w:p>
        </w:tc>
        <w:tc>
          <w:tcPr>
            <w:tcW w:w="252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w:t>
            </w:r>
            <w:r>
              <w:rPr>
                <w:rFonts w:hint="default" w:ascii="Times New Roman" w:hAnsi="Times New Roman" w:eastAsia="宋体" w:cs="Times New Roman"/>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68" w:type="dxa"/>
            <w:bottom w:w="17" w:type="dxa"/>
            <w:right w:w="68" w:type="dxa"/>
          </w:tblCellMar>
        </w:tblPrEx>
        <w:trPr>
          <w:gridBefore w:val="1"/>
          <w:gridAfter w:val="1"/>
          <w:wBefore w:w="6" w:type="dxa"/>
          <w:wAfter w:w="23" w:type="dxa"/>
          <w:trHeight w:val="442" w:hRule="exact"/>
          <w:jc w:val="center"/>
        </w:trPr>
        <w:tc>
          <w:tcPr>
            <w:tcW w:w="25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w:t>
            </w:r>
            <w:r>
              <w:rPr>
                <w:rFonts w:hint="default" w:ascii="Times New Roman" w:hAnsi="Times New Roman" w:eastAsia="宋体" w:cs="Times New Roman"/>
                <w:b/>
                <w:i w:val="0"/>
                <w:color w:val="000000"/>
                <w:kern w:val="0"/>
                <w:sz w:val="22"/>
                <w:szCs w:val="22"/>
                <w:u w:val="none"/>
                <w:lang w:val="en-US" w:eastAsia="zh-CN" w:bidi="ar"/>
              </w:rPr>
              <w:t xml:space="preserve">       </w:t>
            </w:r>
            <w:r>
              <w:rPr>
                <w:rFonts w:hint="eastAsia" w:ascii="宋体" w:hAnsi="宋体" w:eastAsia="宋体" w:cs="宋体"/>
                <w:b/>
                <w:i w:val="0"/>
                <w:color w:val="000000"/>
                <w:kern w:val="0"/>
                <w:sz w:val="22"/>
                <w:szCs w:val="22"/>
                <w:u w:val="none"/>
                <w:lang w:val="en-US" w:eastAsia="zh-CN" w:bidi="ar"/>
              </w:rPr>
              <w:t>计</w:t>
            </w:r>
          </w:p>
        </w:tc>
        <w:tc>
          <w:tcPr>
            <w:tcW w:w="89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32,135 </w:t>
            </w:r>
          </w:p>
        </w:tc>
        <w:tc>
          <w:tcPr>
            <w:tcW w:w="925"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27,154 </w:t>
            </w:r>
          </w:p>
        </w:tc>
        <w:tc>
          <w:tcPr>
            <w:tcW w:w="93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31,030 </w:t>
            </w:r>
          </w:p>
        </w:tc>
        <w:tc>
          <w:tcPr>
            <w:tcW w:w="125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14.27 </w:t>
            </w:r>
          </w:p>
        </w:tc>
        <w:tc>
          <w:tcPr>
            <w:tcW w:w="2524"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68" w:type="dxa"/>
            <w:bottom w:w="17" w:type="dxa"/>
            <w:right w:w="68" w:type="dxa"/>
          </w:tblCellMar>
        </w:tblPrEx>
        <w:trPr>
          <w:gridBefore w:val="1"/>
          <w:gridAfter w:val="1"/>
          <w:wBefore w:w="6" w:type="dxa"/>
          <w:wAfter w:w="23" w:type="dxa"/>
          <w:trHeight w:val="442" w:hRule="exact"/>
          <w:jc w:val="center"/>
        </w:trPr>
        <w:tc>
          <w:tcPr>
            <w:tcW w:w="25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一、税收收入</w:t>
            </w:r>
          </w:p>
        </w:tc>
        <w:tc>
          <w:tcPr>
            <w:tcW w:w="89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31,085 </w:t>
            </w:r>
          </w:p>
        </w:tc>
        <w:tc>
          <w:tcPr>
            <w:tcW w:w="925"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25,410 </w:t>
            </w:r>
          </w:p>
        </w:tc>
        <w:tc>
          <w:tcPr>
            <w:tcW w:w="93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29,750 </w:t>
            </w:r>
          </w:p>
        </w:tc>
        <w:tc>
          <w:tcPr>
            <w:tcW w:w="125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17.08 </w:t>
            </w:r>
          </w:p>
        </w:tc>
        <w:tc>
          <w:tcPr>
            <w:tcW w:w="2524" w:type="dxa"/>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68" w:type="dxa"/>
            <w:bottom w:w="17" w:type="dxa"/>
            <w:right w:w="68" w:type="dxa"/>
          </w:tblCellMar>
        </w:tblPrEx>
        <w:trPr>
          <w:gridBefore w:val="1"/>
          <w:gridAfter w:val="1"/>
          <w:wBefore w:w="6" w:type="dxa"/>
          <w:wAfter w:w="23" w:type="dxa"/>
          <w:trHeight w:val="442" w:hRule="exact"/>
          <w:jc w:val="center"/>
        </w:trPr>
        <w:tc>
          <w:tcPr>
            <w:tcW w:w="25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增值税</w:t>
            </w:r>
          </w:p>
        </w:tc>
        <w:tc>
          <w:tcPr>
            <w:tcW w:w="89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12,740 </w:t>
            </w:r>
          </w:p>
        </w:tc>
        <w:tc>
          <w:tcPr>
            <w:tcW w:w="925"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11,583 </w:t>
            </w:r>
          </w:p>
        </w:tc>
        <w:tc>
          <w:tcPr>
            <w:tcW w:w="93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12,120 </w:t>
            </w:r>
          </w:p>
        </w:tc>
        <w:tc>
          <w:tcPr>
            <w:tcW w:w="125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4.64 </w:t>
            </w:r>
          </w:p>
        </w:tc>
        <w:tc>
          <w:tcPr>
            <w:tcW w:w="252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市本级、沙坡头区</w:t>
            </w:r>
            <w:r>
              <w:rPr>
                <w:rFonts w:hint="default" w:ascii="Times New Roman" w:hAnsi="Times New Roman" w:eastAsia="宋体" w:cs="Times New Roman"/>
                <w:i w:val="0"/>
                <w:color w:val="000000"/>
                <w:kern w:val="0"/>
                <w:sz w:val="20"/>
                <w:szCs w:val="20"/>
                <w:u w:val="none"/>
                <w:lang w:val="en-US" w:eastAsia="zh-CN" w:bidi="ar"/>
              </w:rPr>
              <w:t>6:4</w:t>
            </w:r>
            <w:r>
              <w:rPr>
                <w:rFonts w:hint="eastAsia" w:ascii="宋体" w:hAnsi="宋体" w:eastAsia="宋体" w:cs="宋体"/>
                <w:i w:val="0"/>
                <w:color w:val="000000"/>
                <w:kern w:val="0"/>
                <w:sz w:val="20"/>
                <w:szCs w:val="20"/>
                <w:u w:val="none"/>
                <w:lang w:val="en-US" w:eastAsia="zh-CN" w:bidi="ar"/>
              </w:rPr>
              <w:t>分成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68" w:type="dxa"/>
            <w:bottom w:w="17" w:type="dxa"/>
            <w:right w:w="68" w:type="dxa"/>
          </w:tblCellMar>
        </w:tblPrEx>
        <w:trPr>
          <w:gridBefore w:val="1"/>
          <w:gridAfter w:val="1"/>
          <w:wBefore w:w="6" w:type="dxa"/>
          <w:wAfter w:w="23" w:type="dxa"/>
          <w:trHeight w:val="442" w:hRule="exact"/>
          <w:jc w:val="center"/>
        </w:trPr>
        <w:tc>
          <w:tcPr>
            <w:tcW w:w="25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营业税</w:t>
            </w:r>
          </w:p>
        </w:tc>
        <w:tc>
          <w:tcPr>
            <w:tcW w:w="89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4"/>
                <w:szCs w:val="24"/>
                <w:u w:val="none"/>
              </w:rPr>
            </w:pPr>
          </w:p>
        </w:tc>
        <w:tc>
          <w:tcPr>
            <w:tcW w:w="925"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4"/>
                <w:szCs w:val="24"/>
                <w:u w:val="none"/>
              </w:rPr>
            </w:pPr>
          </w:p>
        </w:tc>
        <w:tc>
          <w:tcPr>
            <w:tcW w:w="939"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4"/>
                <w:szCs w:val="24"/>
                <w:u w:val="none"/>
              </w:rPr>
            </w:pPr>
          </w:p>
        </w:tc>
        <w:tc>
          <w:tcPr>
            <w:tcW w:w="1258"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4"/>
                <w:szCs w:val="24"/>
                <w:u w:val="none"/>
              </w:rPr>
            </w:pPr>
          </w:p>
        </w:tc>
        <w:tc>
          <w:tcPr>
            <w:tcW w:w="2524" w:type="dxa"/>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68" w:type="dxa"/>
            <w:bottom w:w="17" w:type="dxa"/>
            <w:right w:w="68" w:type="dxa"/>
          </w:tblCellMar>
        </w:tblPrEx>
        <w:trPr>
          <w:gridBefore w:val="1"/>
          <w:gridAfter w:val="1"/>
          <w:wBefore w:w="6" w:type="dxa"/>
          <w:wAfter w:w="23" w:type="dxa"/>
          <w:trHeight w:val="442" w:hRule="exact"/>
          <w:jc w:val="center"/>
        </w:trPr>
        <w:tc>
          <w:tcPr>
            <w:tcW w:w="25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企业所得税</w:t>
            </w:r>
          </w:p>
        </w:tc>
        <w:tc>
          <w:tcPr>
            <w:tcW w:w="89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3,500 </w:t>
            </w:r>
          </w:p>
        </w:tc>
        <w:tc>
          <w:tcPr>
            <w:tcW w:w="925"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2,637 </w:t>
            </w:r>
          </w:p>
        </w:tc>
        <w:tc>
          <w:tcPr>
            <w:tcW w:w="93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3,400 </w:t>
            </w:r>
          </w:p>
        </w:tc>
        <w:tc>
          <w:tcPr>
            <w:tcW w:w="125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28.93 </w:t>
            </w:r>
          </w:p>
        </w:tc>
        <w:tc>
          <w:tcPr>
            <w:tcW w:w="252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市本级、沙坡头区</w:t>
            </w:r>
            <w:r>
              <w:rPr>
                <w:rFonts w:hint="default" w:ascii="Times New Roman" w:hAnsi="Times New Roman" w:eastAsia="宋体" w:cs="Times New Roman"/>
                <w:i w:val="0"/>
                <w:color w:val="000000"/>
                <w:kern w:val="0"/>
                <w:sz w:val="20"/>
                <w:szCs w:val="20"/>
                <w:u w:val="none"/>
                <w:lang w:val="en-US" w:eastAsia="zh-CN" w:bidi="ar"/>
              </w:rPr>
              <w:t>6:4</w:t>
            </w:r>
            <w:r>
              <w:rPr>
                <w:rFonts w:hint="eastAsia" w:ascii="宋体" w:hAnsi="宋体" w:eastAsia="宋体" w:cs="宋体"/>
                <w:i w:val="0"/>
                <w:color w:val="000000"/>
                <w:kern w:val="0"/>
                <w:sz w:val="20"/>
                <w:szCs w:val="20"/>
                <w:u w:val="none"/>
                <w:lang w:val="en-US" w:eastAsia="zh-CN" w:bidi="ar"/>
              </w:rPr>
              <w:t>分成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68" w:type="dxa"/>
            <w:bottom w:w="17" w:type="dxa"/>
            <w:right w:w="68" w:type="dxa"/>
          </w:tblCellMar>
        </w:tblPrEx>
        <w:trPr>
          <w:gridBefore w:val="1"/>
          <w:gridAfter w:val="1"/>
          <w:wBefore w:w="6" w:type="dxa"/>
          <w:wAfter w:w="23" w:type="dxa"/>
          <w:trHeight w:val="442" w:hRule="exact"/>
          <w:jc w:val="center"/>
        </w:trPr>
        <w:tc>
          <w:tcPr>
            <w:tcW w:w="25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个人所得税</w:t>
            </w:r>
          </w:p>
        </w:tc>
        <w:tc>
          <w:tcPr>
            <w:tcW w:w="89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1,160 </w:t>
            </w:r>
          </w:p>
        </w:tc>
        <w:tc>
          <w:tcPr>
            <w:tcW w:w="925"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1,076 </w:t>
            </w:r>
          </w:p>
        </w:tc>
        <w:tc>
          <w:tcPr>
            <w:tcW w:w="93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1,200 </w:t>
            </w:r>
          </w:p>
        </w:tc>
        <w:tc>
          <w:tcPr>
            <w:tcW w:w="125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11.52 </w:t>
            </w:r>
          </w:p>
        </w:tc>
        <w:tc>
          <w:tcPr>
            <w:tcW w:w="252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市本级、沙坡头区</w:t>
            </w:r>
            <w:r>
              <w:rPr>
                <w:rFonts w:hint="default" w:ascii="Times New Roman" w:hAnsi="Times New Roman" w:eastAsia="宋体" w:cs="Times New Roman"/>
                <w:i w:val="0"/>
                <w:color w:val="000000"/>
                <w:kern w:val="0"/>
                <w:sz w:val="20"/>
                <w:szCs w:val="20"/>
                <w:u w:val="none"/>
                <w:lang w:val="en-US" w:eastAsia="zh-CN" w:bidi="ar"/>
              </w:rPr>
              <w:t>6:4</w:t>
            </w:r>
            <w:r>
              <w:rPr>
                <w:rFonts w:hint="eastAsia" w:ascii="宋体" w:hAnsi="宋体" w:eastAsia="宋体" w:cs="宋体"/>
                <w:i w:val="0"/>
                <w:color w:val="000000"/>
                <w:kern w:val="0"/>
                <w:sz w:val="20"/>
                <w:szCs w:val="20"/>
                <w:u w:val="none"/>
                <w:lang w:val="en-US" w:eastAsia="zh-CN" w:bidi="ar"/>
              </w:rPr>
              <w:t>分成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68" w:type="dxa"/>
            <w:bottom w:w="17" w:type="dxa"/>
            <w:right w:w="68" w:type="dxa"/>
          </w:tblCellMar>
        </w:tblPrEx>
        <w:trPr>
          <w:gridBefore w:val="1"/>
          <w:gridAfter w:val="1"/>
          <w:wBefore w:w="6" w:type="dxa"/>
          <w:wAfter w:w="23" w:type="dxa"/>
          <w:trHeight w:val="442" w:hRule="exact"/>
          <w:jc w:val="center"/>
        </w:trPr>
        <w:tc>
          <w:tcPr>
            <w:tcW w:w="25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城市维护建设税</w:t>
            </w:r>
          </w:p>
        </w:tc>
        <w:tc>
          <w:tcPr>
            <w:tcW w:w="89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2,900 </w:t>
            </w:r>
          </w:p>
        </w:tc>
        <w:tc>
          <w:tcPr>
            <w:tcW w:w="925"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2,291 </w:t>
            </w:r>
          </w:p>
        </w:tc>
        <w:tc>
          <w:tcPr>
            <w:tcW w:w="93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3,040 </w:t>
            </w:r>
          </w:p>
        </w:tc>
        <w:tc>
          <w:tcPr>
            <w:tcW w:w="125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32.69 </w:t>
            </w:r>
          </w:p>
        </w:tc>
        <w:tc>
          <w:tcPr>
            <w:tcW w:w="252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市本级、沙坡头区</w:t>
            </w:r>
            <w:r>
              <w:rPr>
                <w:rFonts w:hint="default" w:ascii="Times New Roman" w:hAnsi="Times New Roman" w:eastAsia="宋体" w:cs="Times New Roman"/>
                <w:i w:val="0"/>
                <w:color w:val="000000"/>
                <w:kern w:val="0"/>
                <w:sz w:val="20"/>
                <w:szCs w:val="20"/>
                <w:u w:val="none"/>
                <w:lang w:val="en-US" w:eastAsia="zh-CN" w:bidi="ar"/>
              </w:rPr>
              <w:t>6:4</w:t>
            </w:r>
            <w:r>
              <w:rPr>
                <w:rFonts w:hint="eastAsia" w:ascii="宋体" w:hAnsi="宋体" w:eastAsia="宋体" w:cs="宋体"/>
                <w:i w:val="0"/>
                <w:color w:val="000000"/>
                <w:kern w:val="0"/>
                <w:sz w:val="20"/>
                <w:szCs w:val="20"/>
                <w:u w:val="none"/>
                <w:lang w:val="en-US" w:eastAsia="zh-CN" w:bidi="ar"/>
              </w:rPr>
              <w:t>分成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68" w:type="dxa"/>
            <w:bottom w:w="17" w:type="dxa"/>
            <w:right w:w="68" w:type="dxa"/>
          </w:tblCellMar>
        </w:tblPrEx>
        <w:trPr>
          <w:gridBefore w:val="1"/>
          <w:gridAfter w:val="1"/>
          <w:wBefore w:w="6" w:type="dxa"/>
          <w:wAfter w:w="23" w:type="dxa"/>
          <w:trHeight w:val="442" w:hRule="exact"/>
          <w:jc w:val="center"/>
        </w:trPr>
        <w:tc>
          <w:tcPr>
            <w:tcW w:w="25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房产税</w:t>
            </w:r>
          </w:p>
        </w:tc>
        <w:tc>
          <w:tcPr>
            <w:tcW w:w="89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1,640 </w:t>
            </w:r>
          </w:p>
        </w:tc>
        <w:tc>
          <w:tcPr>
            <w:tcW w:w="925"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1,288 </w:t>
            </w:r>
          </w:p>
        </w:tc>
        <w:tc>
          <w:tcPr>
            <w:tcW w:w="93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1,600 </w:t>
            </w:r>
          </w:p>
        </w:tc>
        <w:tc>
          <w:tcPr>
            <w:tcW w:w="125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24.22 </w:t>
            </w:r>
          </w:p>
        </w:tc>
        <w:tc>
          <w:tcPr>
            <w:tcW w:w="252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市本级、沙坡头区</w:t>
            </w:r>
            <w:r>
              <w:rPr>
                <w:rFonts w:hint="default" w:ascii="Times New Roman" w:hAnsi="Times New Roman" w:eastAsia="宋体" w:cs="Times New Roman"/>
                <w:i w:val="0"/>
                <w:color w:val="000000"/>
                <w:kern w:val="0"/>
                <w:sz w:val="20"/>
                <w:szCs w:val="20"/>
                <w:u w:val="none"/>
                <w:lang w:val="en-US" w:eastAsia="zh-CN" w:bidi="ar"/>
              </w:rPr>
              <w:t>6:4</w:t>
            </w:r>
            <w:r>
              <w:rPr>
                <w:rFonts w:hint="eastAsia" w:ascii="宋体" w:hAnsi="宋体" w:eastAsia="宋体" w:cs="宋体"/>
                <w:i w:val="0"/>
                <w:color w:val="000000"/>
                <w:kern w:val="0"/>
                <w:sz w:val="20"/>
                <w:szCs w:val="20"/>
                <w:u w:val="none"/>
                <w:lang w:val="en-US" w:eastAsia="zh-CN" w:bidi="ar"/>
              </w:rPr>
              <w:t>分成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68" w:type="dxa"/>
            <w:bottom w:w="17" w:type="dxa"/>
            <w:right w:w="68" w:type="dxa"/>
          </w:tblCellMar>
        </w:tblPrEx>
        <w:trPr>
          <w:gridBefore w:val="1"/>
          <w:gridAfter w:val="1"/>
          <w:wBefore w:w="6" w:type="dxa"/>
          <w:wAfter w:w="23" w:type="dxa"/>
          <w:trHeight w:val="442" w:hRule="exact"/>
          <w:jc w:val="center"/>
        </w:trPr>
        <w:tc>
          <w:tcPr>
            <w:tcW w:w="25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印花税</w:t>
            </w:r>
          </w:p>
        </w:tc>
        <w:tc>
          <w:tcPr>
            <w:tcW w:w="89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1,240 </w:t>
            </w:r>
          </w:p>
        </w:tc>
        <w:tc>
          <w:tcPr>
            <w:tcW w:w="925"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965 </w:t>
            </w:r>
          </w:p>
        </w:tc>
        <w:tc>
          <w:tcPr>
            <w:tcW w:w="93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1,200 </w:t>
            </w:r>
          </w:p>
        </w:tc>
        <w:tc>
          <w:tcPr>
            <w:tcW w:w="125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24.35 </w:t>
            </w:r>
          </w:p>
        </w:tc>
        <w:tc>
          <w:tcPr>
            <w:tcW w:w="252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市本级、沙坡头区</w:t>
            </w:r>
            <w:r>
              <w:rPr>
                <w:rFonts w:hint="default" w:ascii="Times New Roman" w:hAnsi="Times New Roman" w:eastAsia="宋体" w:cs="Times New Roman"/>
                <w:i w:val="0"/>
                <w:color w:val="000000"/>
                <w:kern w:val="0"/>
                <w:sz w:val="20"/>
                <w:szCs w:val="20"/>
                <w:u w:val="none"/>
                <w:lang w:val="en-US" w:eastAsia="zh-CN" w:bidi="ar"/>
              </w:rPr>
              <w:t>6:4</w:t>
            </w:r>
            <w:r>
              <w:rPr>
                <w:rFonts w:hint="eastAsia" w:ascii="宋体" w:hAnsi="宋体" w:eastAsia="宋体" w:cs="宋体"/>
                <w:i w:val="0"/>
                <w:color w:val="000000"/>
                <w:kern w:val="0"/>
                <w:sz w:val="20"/>
                <w:szCs w:val="20"/>
                <w:u w:val="none"/>
                <w:lang w:val="en-US" w:eastAsia="zh-CN" w:bidi="ar"/>
              </w:rPr>
              <w:t>分成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68" w:type="dxa"/>
            <w:bottom w:w="17" w:type="dxa"/>
            <w:right w:w="68" w:type="dxa"/>
          </w:tblCellMar>
        </w:tblPrEx>
        <w:trPr>
          <w:gridBefore w:val="1"/>
          <w:gridAfter w:val="1"/>
          <w:wBefore w:w="6" w:type="dxa"/>
          <w:wAfter w:w="23" w:type="dxa"/>
          <w:trHeight w:val="442" w:hRule="exact"/>
          <w:jc w:val="center"/>
        </w:trPr>
        <w:tc>
          <w:tcPr>
            <w:tcW w:w="25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城镇土地使用税</w:t>
            </w:r>
          </w:p>
        </w:tc>
        <w:tc>
          <w:tcPr>
            <w:tcW w:w="89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4"/>
                <w:szCs w:val="24"/>
                <w:u w:val="none"/>
              </w:rPr>
            </w:pPr>
          </w:p>
        </w:tc>
        <w:tc>
          <w:tcPr>
            <w:tcW w:w="925"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4"/>
                <w:szCs w:val="24"/>
                <w:u w:val="none"/>
              </w:rPr>
            </w:pPr>
          </w:p>
        </w:tc>
        <w:tc>
          <w:tcPr>
            <w:tcW w:w="939"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4"/>
                <w:szCs w:val="24"/>
                <w:u w:val="none"/>
              </w:rPr>
            </w:pPr>
          </w:p>
        </w:tc>
        <w:tc>
          <w:tcPr>
            <w:tcW w:w="1258"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4"/>
                <w:szCs w:val="24"/>
                <w:u w:val="none"/>
              </w:rPr>
            </w:pPr>
          </w:p>
        </w:tc>
        <w:tc>
          <w:tcPr>
            <w:tcW w:w="2524" w:type="dxa"/>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68" w:type="dxa"/>
            <w:bottom w:w="17" w:type="dxa"/>
            <w:right w:w="68" w:type="dxa"/>
          </w:tblCellMar>
        </w:tblPrEx>
        <w:trPr>
          <w:gridBefore w:val="1"/>
          <w:gridAfter w:val="1"/>
          <w:wBefore w:w="6" w:type="dxa"/>
          <w:wAfter w:w="23" w:type="dxa"/>
          <w:trHeight w:val="442" w:hRule="exact"/>
          <w:jc w:val="center"/>
        </w:trPr>
        <w:tc>
          <w:tcPr>
            <w:tcW w:w="25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土地增值税</w:t>
            </w:r>
          </w:p>
        </w:tc>
        <w:tc>
          <w:tcPr>
            <w:tcW w:w="89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1,240 </w:t>
            </w:r>
          </w:p>
        </w:tc>
        <w:tc>
          <w:tcPr>
            <w:tcW w:w="925"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881 </w:t>
            </w:r>
          </w:p>
        </w:tc>
        <w:tc>
          <w:tcPr>
            <w:tcW w:w="93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1,300 </w:t>
            </w:r>
          </w:p>
        </w:tc>
        <w:tc>
          <w:tcPr>
            <w:tcW w:w="125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47.56 </w:t>
            </w:r>
          </w:p>
        </w:tc>
        <w:tc>
          <w:tcPr>
            <w:tcW w:w="252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市本级、沙坡头区</w:t>
            </w:r>
            <w:r>
              <w:rPr>
                <w:rFonts w:hint="default" w:ascii="Times New Roman" w:hAnsi="Times New Roman" w:eastAsia="宋体" w:cs="Times New Roman"/>
                <w:i w:val="0"/>
                <w:color w:val="000000"/>
                <w:kern w:val="0"/>
                <w:sz w:val="20"/>
                <w:szCs w:val="20"/>
                <w:u w:val="none"/>
                <w:lang w:val="en-US" w:eastAsia="zh-CN" w:bidi="ar"/>
              </w:rPr>
              <w:t>6:4</w:t>
            </w:r>
            <w:r>
              <w:rPr>
                <w:rFonts w:hint="eastAsia" w:ascii="宋体" w:hAnsi="宋体" w:eastAsia="宋体" w:cs="宋体"/>
                <w:i w:val="0"/>
                <w:color w:val="000000"/>
                <w:kern w:val="0"/>
                <w:sz w:val="20"/>
                <w:szCs w:val="20"/>
                <w:u w:val="none"/>
                <w:lang w:val="en-US" w:eastAsia="zh-CN" w:bidi="ar"/>
              </w:rPr>
              <w:t>分成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68" w:type="dxa"/>
            <w:bottom w:w="17" w:type="dxa"/>
            <w:right w:w="68" w:type="dxa"/>
          </w:tblCellMar>
        </w:tblPrEx>
        <w:trPr>
          <w:gridBefore w:val="1"/>
          <w:gridAfter w:val="1"/>
          <w:wBefore w:w="6" w:type="dxa"/>
          <w:wAfter w:w="23" w:type="dxa"/>
          <w:trHeight w:val="442" w:hRule="exact"/>
          <w:jc w:val="center"/>
        </w:trPr>
        <w:tc>
          <w:tcPr>
            <w:tcW w:w="25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车船税</w:t>
            </w:r>
          </w:p>
        </w:tc>
        <w:tc>
          <w:tcPr>
            <w:tcW w:w="89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735 </w:t>
            </w:r>
          </w:p>
        </w:tc>
        <w:tc>
          <w:tcPr>
            <w:tcW w:w="925"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575 </w:t>
            </w:r>
          </w:p>
        </w:tc>
        <w:tc>
          <w:tcPr>
            <w:tcW w:w="93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810 </w:t>
            </w:r>
          </w:p>
        </w:tc>
        <w:tc>
          <w:tcPr>
            <w:tcW w:w="125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40.87 </w:t>
            </w:r>
          </w:p>
        </w:tc>
        <w:tc>
          <w:tcPr>
            <w:tcW w:w="252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市本级、沙坡头区</w:t>
            </w:r>
            <w:r>
              <w:rPr>
                <w:rFonts w:hint="default" w:ascii="Times New Roman" w:hAnsi="Times New Roman" w:eastAsia="宋体" w:cs="Times New Roman"/>
                <w:i w:val="0"/>
                <w:color w:val="000000"/>
                <w:kern w:val="0"/>
                <w:sz w:val="20"/>
                <w:szCs w:val="20"/>
                <w:u w:val="none"/>
                <w:lang w:val="en-US" w:eastAsia="zh-CN" w:bidi="ar"/>
              </w:rPr>
              <w:t>7:3</w:t>
            </w:r>
            <w:r>
              <w:rPr>
                <w:rFonts w:hint="eastAsia" w:ascii="宋体" w:hAnsi="宋体" w:eastAsia="宋体" w:cs="宋体"/>
                <w:i w:val="0"/>
                <w:color w:val="000000"/>
                <w:kern w:val="0"/>
                <w:sz w:val="20"/>
                <w:szCs w:val="20"/>
                <w:u w:val="none"/>
                <w:lang w:val="en-US" w:eastAsia="zh-CN" w:bidi="ar"/>
              </w:rPr>
              <w:t>分成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68" w:type="dxa"/>
            <w:bottom w:w="17" w:type="dxa"/>
            <w:right w:w="68" w:type="dxa"/>
          </w:tblCellMar>
        </w:tblPrEx>
        <w:trPr>
          <w:gridBefore w:val="1"/>
          <w:gridAfter w:val="1"/>
          <w:wBefore w:w="6" w:type="dxa"/>
          <w:wAfter w:w="23" w:type="dxa"/>
          <w:trHeight w:val="442" w:hRule="exact"/>
          <w:jc w:val="center"/>
        </w:trPr>
        <w:tc>
          <w:tcPr>
            <w:tcW w:w="25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耕地占用税</w:t>
            </w:r>
          </w:p>
        </w:tc>
        <w:tc>
          <w:tcPr>
            <w:tcW w:w="89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3,150 </w:t>
            </w:r>
          </w:p>
        </w:tc>
        <w:tc>
          <w:tcPr>
            <w:tcW w:w="925"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1,392 </w:t>
            </w:r>
          </w:p>
        </w:tc>
        <w:tc>
          <w:tcPr>
            <w:tcW w:w="93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2,200 </w:t>
            </w:r>
          </w:p>
        </w:tc>
        <w:tc>
          <w:tcPr>
            <w:tcW w:w="125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58.05 </w:t>
            </w:r>
          </w:p>
        </w:tc>
        <w:tc>
          <w:tcPr>
            <w:tcW w:w="252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沙坡头区固定收入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68" w:type="dxa"/>
            <w:bottom w:w="17" w:type="dxa"/>
            <w:right w:w="68" w:type="dxa"/>
          </w:tblCellMar>
        </w:tblPrEx>
        <w:trPr>
          <w:gridBefore w:val="1"/>
          <w:gridAfter w:val="1"/>
          <w:wBefore w:w="6" w:type="dxa"/>
          <w:wAfter w:w="23" w:type="dxa"/>
          <w:trHeight w:val="442" w:hRule="exact"/>
          <w:jc w:val="center"/>
        </w:trPr>
        <w:tc>
          <w:tcPr>
            <w:tcW w:w="25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契税</w:t>
            </w:r>
          </w:p>
        </w:tc>
        <w:tc>
          <w:tcPr>
            <w:tcW w:w="89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2,780 </w:t>
            </w:r>
          </w:p>
        </w:tc>
        <w:tc>
          <w:tcPr>
            <w:tcW w:w="925"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2,722 </w:t>
            </w:r>
          </w:p>
        </w:tc>
        <w:tc>
          <w:tcPr>
            <w:tcW w:w="93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2,880 </w:t>
            </w:r>
          </w:p>
        </w:tc>
        <w:tc>
          <w:tcPr>
            <w:tcW w:w="125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5.80 </w:t>
            </w:r>
          </w:p>
        </w:tc>
        <w:tc>
          <w:tcPr>
            <w:tcW w:w="252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市本级、沙坡头区</w:t>
            </w:r>
            <w:r>
              <w:rPr>
                <w:rFonts w:hint="default" w:ascii="Times New Roman" w:hAnsi="Times New Roman" w:eastAsia="宋体" w:cs="Times New Roman"/>
                <w:i w:val="0"/>
                <w:color w:val="000000"/>
                <w:kern w:val="0"/>
                <w:sz w:val="20"/>
                <w:szCs w:val="20"/>
                <w:u w:val="none"/>
                <w:lang w:val="en-US" w:eastAsia="zh-CN" w:bidi="ar"/>
              </w:rPr>
              <w:t>6:4</w:t>
            </w:r>
            <w:r>
              <w:rPr>
                <w:rFonts w:hint="eastAsia" w:ascii="宋体" w:hAnsi="宋体" w:eastAsia="宋体" w:cs="宋体"/>
                <w:i w:val="0"/>
                <w:color w:val="000000"/>
                <w:kern w:val="0"/>
                <w:sz w:val="20"/>
                <w:szCs w:val="20"/>
                <w:u w:val="none"/>
                <w:lang w:val="en-US" w:eastAsia="zh-CN" w:bidi="ar"/>
              </w:rPr>
              <w:t>分成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68" w:type="dxa"/>
            <w:bottom w:w="17" w:type="dxa"/>
            <w:right w:w="68" w:type="dxa"/>
          </w:tblCellMar>
        </w:tblPrEx>
        <w:trPr>
          <w:gridBefore w:val="1"/>
          <w:gridAfter w:val="1"/>
          <w:wBefore w:w="6" w:type="dxa"/>
          <w:wAfter w:w="23" w:type="dxa"/>
          <w:trHeight w:val="442" w:hRule="exact"/>
          <w:jc w:val="center"/>
        </w:trPr>
        <w:tc>
          <w:tcPr>
            <w:tcW w:w="25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二、非税收入</w:t>
            </w:r>
          </w:p>
        </w:tc>
        <w:tc>
          <w:tcPr>
            <w:tcW w:w="89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1,050 </w:t>
            </w:r>
          </w:p>
        </w:tc>
        <w:tc>
          <w:tcPr>
            <w:tcW w:w="925"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1,744 </w:t>
            </w:r>
          </w:p>
        </w:tc>
        <w:tc>
          <w:tcPr>
            <w:tcW w:w="93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1,280 </w:t>
            </w:r>
          </w:p>
        </w:tc>
        <w:tc>
          <w:tcPr>
            <w:tcW w:w="125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-26.61 </w:t>
            </w:r>
          </w:p>
        </w:tc>
        <w:tc>
          <w:tcPr>
            <w:tcW w:w="2524"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68" w:type="dxa"/>
            <w:bottom w:w="17" w:type="dxa"/>
            <w:right w:w="68" w:type="dxa"/>
          </w:tblCellMar>
        </w:tblPrEx>
        <w:trPr>
          <w:gridBefore w:val="1"/>
          <w:gridAfter w:val="1"/>
          <w:wBefore w:w="6" w:type="dxa"/>
          <w:wAfter w:w="23" w:type="dxa"/>
          <w:trHeight w:val="442" w:hRule="exact"/>
          <w:jc w:val="center"/>
        </w:trPr>
        <w:tc>
          <w:tcPr>
            <w:tcW w:w="25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　　专项收入</w:t>
            </w:r>
          </w:p>
        </w:tc>
        <w:tc>
          <w:tcPr>
            <w:tcW w:w="89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4"/>
                <w:szCs w:val="24"/>
                <w:u w:val="none"/>
              </w:rPr>
            </w:pPr>
          </w:p>
        </w:tc>
        <w:tc>
          <w:tcPr>
            <w:tcW w:w="925"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4"/>
                <w:szCs w:val="24"/>
                <w:u w:val="none"/>
              </w:rPr>
            </w:pPr>
          </w:p>
        </w:tc>
        <w:tc>
          <w:tcPr>
            <w:tcW w:w="939"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4"/>
                <w:szCs w:val="24"/>
                <w:u w:val="none"/>
              </w:rPr>
            </w:pPr>
          </w:p>
        </w:tc>
        <w:tc>
          <w:tcPr>
            <w:tcW w:w="1258"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4"/>
                <w:szCs w:val="24"/>
                <w:u w:val="none"/>
              </w:rPr>
            </w:pPr>
          </w:p>
        </w:tc>
        <w:tc>
          <w:tcPr>
            <w:tcW w:w="2524" w:type="dxa"/>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68" w:type="dxa"/>
            <w:bottom w:w="17" w:type="dxa"/>
            <w:right w:w="68" w:type="dxa"/>
          </w:tblCellMar>
        </w:tblPrEx>
        <w:trPr>
          <w:gridBefore w:val="1"/>
          <w:gridAfter w:val="1"/>
          <w:wBefore w:w="6" w:type="dxa"/>
          <w:wAfter w:w="23" w:type="dxa"/>
          <w:trHeight w:val="442" w:hRule="exact"/>
          <w:jc w:val="center"/>
        </w:trPr>
        <w:tc>
          <w:tcPr>
            <w:tcW w:w="25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r>
              <w:rPr>
                <w:rFonts w:hint="eastAsia" w:ascii="宋体" w:hAnsi="宋体" w:eastAsia="宋体" w:cs="宋体"/>
                <w:i w:val="0"/>
                <w:color w:val="000000"/>
                <w:spacing w:val="-6"/>
                <w:kern w:val="0"/>
                <w:sz w:val="22"/>
                <w:szCs w:val="22"/>
                <w:u w:val="none"/>
                <w:lang w:val="en-US" w:eastAsia="zh-CN" w:bidi="ar"/>
              </w:rPr>
              <w:t>行政事业性收费收入</w:t>
            </w:r>
          </w:p>
        </w:tc>
        <w:tc>
          <w:tcPr>
            <w:tcW w:w="89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1,050 </w:t>
            </w:r>
          </w:p>
        </w:tc>
        <w:tc>
          <w:tcPr>
            <w:tcW w:w="925"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1,239 </w:t>
            </w:r>
          </w:p>
        </w:tc>
        <w:tc>
          <w:tcPr>
            <w:tcW w:w="93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1,120 </w:t>
            </w:r>
          </w:p>
        </w:tc>
        <w:tc>
          <w:tcPr>
            <w:tcW w:w="125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-9.60 </w:t>
            </w:r>
          </w:p>
        </w:tc>
        <w:tc>
          <w:tcPr>
            <w:tcW w:w="2524" w:type="dxa"/>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68" w:type="dxa"/>
            <w:bottom w:w="17" w:type="dxa"/>
            <w:right w:w="68" w:type="dxa"/>
          </w:tblCellMar>
        </w:tblPrEx>
        <w:trPr>
          <w:gridBefore w:val="1"/>
          <w:gridAfter w:val="1"/>
          <w:wBefore w:w="6" w:type="dxa"/>
          <w:wAfter w:w="23" w:type="dxa"/>
          <w:trHeight w:val="442" w:hRule="exact"/>
          <w:jc w:val="center"/>
        </w:trPr>
        <w:tc>
          <w:tcPr>
            <w:tcW w:w="25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　　罚没收入</w:t>
            </w:r>
          </w:p>
        </w:tc>
        <w:tc>
          <w:tcPr>
            <w:tcW w:w="895" w:type="dxa"/>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Times New Roman" w:hAnsi="Times New Roman" w:eastAsia="宋体" w:cs="Times New Roman"/>
                <w:i w:val="0"/>
                <w:color w:val="000000"/>
                <w:sz w:val="24"/>
                <w:szCs w:val="24"/>
                <w:u w:val="none"/>
              </w:rPr>
            </w:pPr>
          </w:p>
        </w:tc>
        <w:tc>
          <w:tcPr>
            <w:tcW w:w="925"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237 </w:t>
            </w:r>
          </w:p>
        </w:tc>
        <w:tc>
          <w:tcPr>
            <w:tcW w:w="93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60 </w:t>
            </w:r>
          </w:p>
        </w:tc>
        <w:tc>
          <w:tcPr>
            <w:tcW w:w="1258"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4"/>
                <w:szCs w:val="24"/>
                <w:u w:val="none"/>
              </w:rPr>
            </w:pPr>
          </w:p>
        </w:tc>
        <w:tc>
          <w:tcPr>
            <w:tcW w:w="2524"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68" w:type="dxa"/>
            <w:bottom w:w="17" w:type="dxa"/>
            <w:right w:w="68" w:type="dxa"/>
          </w:tblCellMar>
        </w:tblPrEx>
        <w:trPr>
          <w:gridBefore w:val="1"/>
          <w:gridAfter w:val="1"/>
          <w:wBefore w:w="6" w:type="dxa"/>
          <w:wAfter w:w="23" w:type="dxa"/>
          <w:trHeight w:val="442" w:hRule="exact"/>
          <w:jc w:val="center"/>
        </w:trPr>
        <w:tc>
          <w:tcPr>
            <w:tcW w:w="25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　　国有资本经营收入</w:t>
            </w:r>
          </w:p>
        </w:tc>
        <w:tc>
          <w:tcPr>
            <w:tcW w:w="895" w:type="dxa"/>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Times New Roman" w:hAnsi="Times New Roman" w:eastAsia="宋体" w:cs="Times New Roman"/>
                <w:i w:val="0"/>
                <w:color w:val="000000"/>
                <w:sz w:val="24"/>
                <w:szCs w:val="24"/>
                <w:u w:val="none"/>
              </w:rPr>
            </w:pPr>
          </w:p>
        </w:tc>
        <w:tc>
          <w:tcPr>
            <w:tcW w:w="925"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4"/>
                <w:szCs w:val="24"/>
                <w:u w:val="none"/>
              </w:rPr>
            </w:pPr>
          </w:p>
        </w:tc>
        <w:tc>
          <w:tcPr>
            <w:tcW w:w="939"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4"/>
                <w:szCs w:val="24"/>
                <w:u w:val="none"/>
              </w:rPr>
            </w:pPr>
          </w:p>
        </w:tc>
        <w:tc>
          <w:tcPr>
            <w:tcW w:w="1258"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4"/>
                <w:szCs w:val="24"/>
                <w:u w:val="none"/>
              </w:rPr>
            </w:pPr>
          </w:p>
        </w:tc>
        <w:tc>
          <w:tcPr>
            <w:tcW w:w="2524"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68" w:type="dxa"/>
            <w:bottom w:w="17" w:type="dxa"/>
            <w:right w:w="68" w:type="dxa"/>
          </w:tblCellMar>
        </w:tblPrEx>
        <w:trPr>
          <w:gridBefore w:val="1"/>
          <w:gridAfter w:val="1"/>
          <w:wBefore w:w="6" w:type="dxa"/>
          <w:wAfter w:w="23" w:type="dxa"/>
          <w:trHeight w:val="522" w:hRule="atLeast"/>
          <w:jc w:val="center"/>
        </w:trPr>
        <w:tc>
          <w:tcPr>
            <w:tcW w:w="25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国有资源（资产）有偿使用收入</w:t>
            </w:r>
          </w:p>
        </w:tc>
        <w:tc>
          <w:tcPr>
            <w:tcW w:w="895" w:type="dxa"/>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Times New Roman" w:hAnsi="Times New Roman" w:eastAsia="宋体" w:cs="Times New Roman"/>
                <w:i w:val="0"/>
                <w:color w:val="000000"/>
                <w:sz w:val="24"/>
                <w:szCs w:val="24"/>
                <w:u w:val="none"/>
              </w:rPr>
            </w:pPr>
          </w:p>
        </w:tc>
        <w:tc>
          <w:tcPr>
            <w:tcW w:w="925"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268 </w:t>
            </w:r>
          </w:p>
        </w:tc>
        <w:tc>
          <w:tcPr>
            <w:tcW w:w="93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100 </w:t>
            </w:r>
          </w:p>
        </w:tc>
        <w:tc>
          <w:tcPr>
            <w:tcW w:w="1258"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4"/>
                <w:szCs w:val="24"/>
                <w:u w:val="none"/>
              </w:rPr>
            </w:pPr>
          </w:p>
        </w:tc>
        <w:tc>
          <w:tcPr>
            <w:tcW w:w="2524"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68" w:type="dxa"/>
            <w:bottom w:w="17" w:type="dxa"/>
            <w:right w:w="68" w:type="dxa"/>
          </w:tblCellMar>
        </w:tblPrEx>
        <w:trPr>
          <w:gridBefore w:val="1"/>
          <w:gridAfter w:val="1"/>
          <w:wBefore w:w="6" w:type="dxa"/>
          <w:wAfter w:w="23" w:type="dxa"/>
          <w:trHeight w:val="454" w:hRule="atLeast"/>
          <w:jc w:val="center"/>
        </w:trPr>
        <w:tc>
          <w:tcPr>
            <w:tcW w:w="25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　　捐赠收入</w:t>
            </w:r>
          </w:p>
        </w:tc>
        <w:tc>
          <w:tcPr>
            <w:tcW w:w="895" w:type="dxa"/>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Times New Roman" w:hAnsi="Times New Roman" w:eastAsia="宋体" w:cs="Times New Roman"/>
                <w:i w:val="0"/>
                <w:color w:val="000000"/>
                <w:sz w:val="24"/>
                <w:szCs w:val="24"/>
                <w:u w:val="none"/>
              </w:rPr>
            </w:pPr>
          </w:p>
        </w:tc>
        <w:tc>
          <w:tcPr>
            <w:tcW w:w="925"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4"/>
                <w:szCs w:val="24"/>
                <w:u w:val="none"/>
              </w:rPr>
            </w:pPr>
          </w:p>
        </w:tc>
        <w:tc>
          <w:tcPr>
            <w:tcW w:w="939"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4"/>
                <w:szCs w:val="24"/>
                <w:u w:val="none"/>
              </w:rPr>
            </w:pPr>
          </w:p>
        </w:tc>
        <w:tc>
          <w:tcPr>
            <w:tcW w:w="1258"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4"/>
                <w:szCs w:val="24"/>
                <w:u w:val="none"/>
              </w:rPr>
            </w:pPr>
          </w:p>
        </w:tc>
        <w:tc>
          <w:tcPr>
            <w:tcW w:w="2524"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68" w:type="dxa"/>
            <w:bottom w:w="17" w:type="dxa"/>
            <w:right w:w="68" w:type="dxa"/>
          </w:tblCellMar>
        </w:tblPrEx>
        <w:trPr>
          <w:gridBefore w:val="1"/>
          <w:gridAfter w:val="1"/>
          <w:wBefore w:w="6" w:type="dxa"/>
          <w:wAfter w:w="23" w:type="dxa"/>
          <w:trHeight w:val="454" w:hRule="atLeast"/>
          <w:jc w:val="center"/>
        </w:trPr>
        <w:tc>
          <w:tcPr>
            <w:tcW w:w="25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　　其他收入</w:t>
            </w:r>
          </w:p>
        </w:tc>
        <w:tc>
          <w:tcPr>
            <w:tcW w:w="895" w:type="dxa"/>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Times New Roman" w:hAnsi="Times New Roman" w:eastAsia="宋体" w:cs="Times New Roman"/>
                <w:i w:val="0"/>
                <w:color w:val="000000"/>
                <w:sz w:val="24"/>
                <w:szCs w:val="24"/>
                <w:u w:val="none"/>
              </w:rPr>
            </w:pPr>
          </w:p>
        </w:tc>
        <w:tc>
          <w:tcPr>
            <w:tcW w:w="925"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4"/>
                <w:szCs w:val="24"/>
                <w:u w:val="none"/>
              </w:rPr>
            </w:pPr>
          </w:p>
        </w:tc>
        <w:tc>
          <w:tcPr>
            <w:tcW w:w="939"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4"/>
                <w:szCs w:val="24"/>
                <w:u w:val="none"/>
              </w:rPr>
            </w:pPr>
          </w:p>
        </w:tc>
        <w:tc>
          <w:tcPr>
            <w:tcW w:w="1258"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4"/>
                <w:szCs w:val="24"/>
                <w:u w:val="none"/>
              </w:rPr>
            </w:pPr>
          </w:p>
        </w:tc>
        <w:tc>
          <w:tcPr>
            <w:tcW w:w="2524"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45" w:type="dxa"/>
            <w:bottom w:w="17" w:type="dxa"/>
            <w:right w:w="45" w:type="dxa"/>
          </w:tblCellMar>
        </w:tblPrEx>
        <w:trPr>
          <w:gridBefore w:val="2"/>
          <w:wBefore w:w="29" w:type="dxa"/>
          <w:trHeight w:val="405" w:hRule="atLeast"/>
          <w:jc w:val="center"/>
        </w:trPr>
        <w:tc>
          <w:tcPr>
            <w:tcW w:w="2235" w:type="dxa"/>
            <w:shd w:val="clear"/>
            <w:vAlign w:val="center"/>
          </w:tcPr>
          <w:p>
            <w:pPr>
              <w:keepNext w:val="0"/>
              <w:keepLines w:val="0"/>
              <w:widowControl/>
              <w:suppressLineNumbers w:val="0"/>
              <w:jc w:val="left"/>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附表四：</w:t>
            </w:r>
          </w:p>
        </w:tc>
        <w:tc>
          <w:tcPr>
            <w:tcW w:w="972" w:type="dxa"/>
            <w:gridSpan w:val="2"/>
            <w:shd w:val="clear"/>
            <w:vAlign w:val="center"/>
          </w:tcPr>
          <w:p>
            <w:pPr>
              <w:jc w:val="center"/>
              <w:rPr>
                <w:rFonts w:hint="default" w:ascii="Times New Roman" w:hAnsi="Times New Roman" w:eastAsia="宋体" w:cs="Times New Roman"/>
                <w:i w:val="0"/>
                <w:color w:val="000000"/>
                <w:sz w:val="24"/>
                <w:szCs w:val="24"/>
                <w:u w:val="none"/>
              </w:rPr>
            </w:pPr>
          </w:p>
        </w:tc>
        <w:tc>
          <w:tcPr>
            <w:tcW w:w="971" w:type="dxa"/>
            <w:gridSpan w:val="3"/>
            <w:shd w:val="clear"/>
            <w:vAlign w:val="center"/>
          </w:tcPr>
          <w:p>
            <w:pPr>
              <w:jc w:val="center"/>
              <w:rPr>
                <w:rFonts w:hint="default" w:ascii="Times New Roman" w:hAnsi="Times New Roman" w:eastAsia="宋体" w:cs="Times New Roman"/>
                <w:i w:val="0"/>
                <w:color w:val="000000"/>
                <w:sz w:val="24"/>
                <w:szCs w:val="24"/>
                <w:u w:val="none"/>
              </w:rPr>
            </w:pPr>
          </w:p>
        </w:tc>
        <w:tc>
          <w:tcPr>
            <w:tcW w:w="904" w:type="dxa"/>
            <w:gridSpan w:val="2"/>
            <w:shd w:val="clear"/>
            <w:vAlign w:val="center"/>
          </w:tcPr>
          <w:p>
            <w:pPr>
              <w:jc w:val="center"/>
              <w:rPr>
                <w:rFonts w:hint="default" w:ascii="Times New Roman" w:hAnsi="Times New Roman" w:eastAsia="宋体" w:cs="Times New Roman"/>
                <w:i w:val="0"/>
                <w:color w:val="000000"/>
                <w:sz w:val="24"/>
                <w:szCs w:val="24"/>
                <w:u w:val="none"/>
              </w:rPr>
            </w:pPr>
          </w:p>
        </w:tc>
        <w:tc>
          <w:tcPr>
            <w:tcW w:w="1363" w:type="dxa"/>
            <w:gridSpan w:val="3"/>
            <w:shd w:val="clear"/>
            <w:vAlign w:val="center"/>
          </w:tcPr>
          <w:p>
            <w:pPr>
              <w:jc w:val="center"/>
              <w:rPr>
                <w:rFonts w:hint="default" w:ascii="Times New Roman" w:hAnsi="Times New Roman" w:eastAsia="宋体" w:cs="Times New Roman"/>
                <w:i w:val="0"/>
                <w:color w:val="000000"/>
                <w:sz w:val="24"/>
                <w:szCs w:val="24"/>
                <w:u w:val="none"/>
              </w:rPr>
            </w:pPr>
          </w:p>
        </w:tc>
        <w:tc>
          <w:tcPr>
            <w:tcW w:w="1330" w:type="dxa"/>
            <w:gridSpan w:val="2"/>
            <w:shd w:val="clear"/>
            <w:vAlign w:val="center"/>
          </w:tcPr>
          <w:p>
            <w:pPr>
              <w:jc w:val="center"/>
              <w:rPr>
                <w:rFonts w:hint="default" w:ascii="Times New Roman" w:hAnsi="Times New Roman" w:eastAsia="宋体" w:cs="Times New Roman"/>
                <w:i w:val="0"/>
                <w:color w:val="000000"/>
                <w:sz w:val="24"/>
                <w:szCs w:val="24"/>
                <w:u w:val="none"/>
              </w:rPr>
            </w:pPr>
          </w:p>
        </w:tc>
        <w:tc>
          <w:tcPr>
            <w:tcW w:w="1296" w:type="dxa"/>
            <w:gridSpan w:val="3"/>
            <w:shd w:val="clear"/>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45" w:type="dxa"/>
            <w:bottom w:w="17" w:type="dxa"/>
            <w:right w:w="45" w:type="dxa"/>
          </w:tblCellMar>
        </w:tblPrEx>
        <w:trPr>
          <w:gridBefore w:val="2"/>
          <w:wBefore w:w="29" w:type="dxa"/>
          <w:trHeight w:val="480" w:hRule="atLeast"/>
          <w:jc w:val="center"/>
        </w:trPr>
        <w:tc>
          <w:tcPr>
            <w:tcW w:w="9071" w:type="dxa"/>
            <w:gridSpan w:val="16"/>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2019年沙坡头区一般公共预算支出明细表（草案）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45" w:type="dxa"/>
            <w:bottom w:w="17" w:type="dxa"/>
            <w:right w:w="45" w:type="dxa"/>
          </w:tblCellMar>
        </w:tblPrEx>
        <w:trPr>
          <w:gridBefore w:val="2"/>
          <w:wBefore w:w="29" w:type="dxa"/>
          <w:trHeight w:val="357" w:hRule="atLeast"/>
          <w:jc w:val="center"/>
        </w:trPr>
        <w:tc>
          <w:tcPr>
            <w:tcW w:w="2235" w:type="dxa"/>
            <w:shd w:val="clear"/>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b/>
                <w:i w:val="0"/>
                <w:color w:val="000000"/>
                <w:sz w:val="36"/>
                <w:szCs w:val="36"/>
                <w:u w:val="none"/>
              </w:rPr>
            </w:pPr>
          </w:p>
        </w:tc>
        <w:tc>
          <w:tcPr>
            <w:tcW w:w="972" w:type="dxa"/>
            <w:gridSpan w:val="2"/>
            <w:shd w:val="clear"/>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b/>
                <w:i w:val="0"/>
                <w:color w:val="000000"/>
                <w:sz w:val="36"/>
                <w:szCs w:val="36"/>
                <w:u w:val="none"/>
              </w:rPr>
            </w:pPr>
          </w:p>
        </w:tc>
        <w:tc>
          <w:tcPr>
            <w:tcW w:w="971" w:type="dxa"/>
            <w:gridSpan w:val="3"/>
            <w:shd w:val="clear"/>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b/>
                <w:i w:val="0"/>
                <w:color w:val="000000"/>
                <w:sz w:val="36"/>
                <w:szCs w:val="36"/>
                <w:u w:val="none"/>
              </w:rPr>
            </w:pPr>
          </w:p>
        </w:tc>
        <w:tc>
          <w:tcPr>
            <w:tcW w:w="904" w:type="dxa"/>
            <w:gridSpan w:val="2"/>
            <w:shd w:val="clear"/>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b/>
                <w:i w:val="0"/>
                <w:color w:val="000000"/>
                <w:sz w:val="36"/>
                <w:szCs w:val="36"/>
                <w:u w:val="none"/>
              </w:rPr>
            </w:pPr>
          </w:p>
        </w:tc>
        <w:tc>
          <w:tcPr>
            <w:tcW w:w="1363" w:type="dxa"/>
            <w:gridSpan w:val="3"/>
            <w:shd w:val="clear"/>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b/>
                <w:i w:val="0"/>
                <w:color w:val="000000"/>
                <w:sz w:val="36"/>
                <w:szCs w:val="36"/>
                <w:u w:val="none"/>
              </w:rPr>
            </w:pPr>
          </w:p>
        </w:tc>
        <w:tc>
          <w:tcPr>
            <w:tcW w:w="2626" w:type="dxa"/>
            <w:gridSpan w:val="5"/>
            <w:tcBorders>
              <w:bottom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45" w:type="dxa"/>
            <w:bottom w:w="17" w:type="dxa"/>
            <w:right w:w="45" w:type="dxa"/>
          </w:tblCellMar>
        </w:tblPrEx>
        <w:trPr>
          <w:gridBefore w:val="2"/>
          <w:wBefore w:w="29" w:type="dxa"/>
          <w:trHeight w:val="1036" w:hRule="atLeast"/>
          <w:jc w:val="center"/>
        </w:trPr>
        <w:tc>
          <w:tcPr>
            <w:tcW w:w="2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w:t>
            </w:r>
            <w:r>
              <w:rPr>
                <w:rFonts w:hint="default" w:ascii="Times New Roman" w:hAnsi="Times New Roman" w:eastAsia="宋体" w:cs="Times New Roman"/>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t>算</w:t>
            </w:r>
            <w:r>
              <w:rPr>
                <w:rFonts w:hint="default" w:ascii="Times New Roman" w:hAnsi="Times New Roman" w:eastAsia="宋体" w:cs="Times New Roman"/>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t>科</w:t>
            </w:r>
            <w:r>
              <w:rPr>
                <w:rFonts w:hint="default" w:ascii="Times New Roman" w:hAnsi="Times New Roman" w:eastAsia="宋体" w:cs="Times New Roman"/>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t>目</w:t>
            </w:r>
          </w:p>
        </w:tc>
        <w:tc>
          <w:tcPr>
            <w:tcW w:w="97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2018</w:t>
            </w:r>
            <w:r>
              <w:rPr>
                <w:rFonts w:hint="eastAsia" w:ascii="宋体" w:hAnsi="宋体" w:eastAsia="宋体" w:cs="宋体"/>
                <w:b/>
                <w:i w:val="0"/>
                <w:color w:val="000000"/>
                <w:kern w:val="0"/>
                <w:sz w:val="24"/>
                <w:szCs w:val="24"/>
                <w:u w:val="none"/>
                <w:lang w:val="en-US" w:eastAsia="zh-CN" w:bidi="ar"/>
              </w:rPr>
              <w:t>年预算数</w:t>
            </w:r>
          </w:p>
        </w:tc>
        <w:tc>
          <w:tcPr>
            <w:tcW w:w="97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2018</w:t>
            </w:r>
            <w:r>
              <w:rPr>
                <w:rFonts w:hint="eastAsia" w:ascii="宋体" w:hAnsi="宋体" w:eastAsia="宋体" w:cs="宋体"/>
                <w:b/>
                <w:i w:val="0"/>
                <w:color w:val="000000"/>
                <w:kern w:val="0"/>
                <w:sz w:val="24"/>
                <w:szCs w:val="24"/>
                <w:u w:val="none"/>
                <w:lang w:val="en-US" w:eastAsia="zh-CN" w:bidi="ar"/>
              </w:rPr>
              <w:t>年完成数</w:t>
            </w:r>
          </w:p>
        </w:tc>
        <w:tc>
          <w:tcPr>
            <w:tcW w:w="9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2019</w:t>
            </w:r>
            <w:r>
              <w:rPr>
                <w:rFonts w:hint="eastAsia" w:ascii="宋体" w:hAnsi="宋体" w:eastAsia="宋体" w:cs="宋体"/>
                <w:b/>
                <w:i w:val="0"/>
                <w:color w:val="000000"/>
                <w:kern w:val="0"/>
                <w:sz w:val="24"/>
                <w:szCs w:val="24"/>
                <w:u w:val="none"/>
                <w:lang w:val="en-US" w:eastAsia="zh-CN" w:bidi="ar"/>
              </w:rPr>
              <w:t>年预算数</w:t>
            </w:r>
          </w:p>
        </w:tc>
        <w:tc>
          <w:tcPr>
            <w:tcW w:w="136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其中：提前下达专项转移支付</w:t>
            </w:r>
          </w:p>
        </w:tc>
        <w:tc>
          <w:tcPr>
            <w:tcW w:w="133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比上年预算数增减</w:t>
            </w:r>
            <w:r>
              <w:rPr>
                <w:rFonts w:hint="default" w:ascii="Times New Roman" w:hAnsi="Times New Roman" w:eastAsia="宋体" w:cs="Times New Roman"/>
                <w:b/>
                <w:i w:val="0"/>
                <w:color w:val="000000"/>
                <w:kern w:val="0"/>
                <w:sz w:val="24"/>
                <w:szCs w:val="24"/>
                <w:u w:val="none"/>
                <w:lang w:val="en-US" w:eastAsia="zh-CN" w:bidi="ar"/>
              </w:rPr>
              <w:t>%</w:t>
            </w:r>
          </w:p>
        </w:tc>
        <w:tc>
          <w:tcPr>
            <w:tcW w:w="129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w:t>
            </w:r>
            <w:r>
              <w:rPr>
                <w:rFonts w:hint="default" w:ascii="Times New Roman" w:hAnsi="Times New Roman" w:eastAsia="宋体" w:cs="Times New Roman"/>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45" w:type="dxa"/>
            <w:bottom w:w="17" w:type="dxa"/>
            <w:right w:w="45" w:type="dxa"/>
          </w:tblCellMar>
        </w:tblPrEx>
        <w:trPr>
          <w:gridBefore w:val="2"/>
          <w:wBefore w:w="29" w:type="dxa"/>
          <w:trHeight w:val="420" w:hRule="exact"/>
          <w:jc w:val="center"/>
        </w:trPr>
        <w:tc>
          <w:tcPr>
            <w:tcW w:w="2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w:t>
            </w:r>
            <w:r>
              <w:rPr>
                <w:rFonts w:hint="default" w:ascii="Times New Roman" w:hAnsi="Times New Roman" w:eastAsia="宋体" w:cs="Times New Roman"/>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t>计</w:t>
            </w:r>
          </w:p>
        </w:tc>
        <w:tc>
          <w:tcPr>
            <w:tcW w:w="97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39,300 </w:t>
            </w:r>
          </w:p>
        </w:tc>
        <w:tc>
          <w:tcPr>
            <w:tcW w:w="97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124,301 </w:t>
            </w:r>
          </w:p>
        </w:tc>
        <w:tc>
          <w:tcPr>
            <w:tcW w:w="9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42,250 </w:t>
            </w:r>
          </w:p>
        </w:tc>
        <w:tc>
          <w:tcPr>
            <w:tcW w:w="1363" w:type="dxa"/>
            <w:gridSpan w:val="3"/>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b/>
                <w:i w:val="0"/>
                <w:color w:val="000000"/>
                <w:sz w:val="24"/>
                <w:szCs w:val="24"/>
                <w:u w:val="none"/>
              </w:rPr>
            </w:pPr>
          </w:p>
        </w:tc>
        <w:tc>
          <w:tcPr>
            <w:tcW w:w="133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 7.51 </w:t>
            </w:r>
          </w:p>
        </w:tc>
        <w:tc>
          <w:tcPr>
            <w:tcW w:w="1296"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45" w:type="dxa"/>
            <w:bottom w:w="17" w:type="dxa"/>
            <w:right w:w="45" w:type="dxa"/>
          </w:tblCellMar>
        </w:tblPrEx>
        <w:trPr>
          <w:gridBefore w:val="2"/>
          <w:wBefore w:w="29" w:type="dxa"/>
          <w:trHeight w:val="420" w:hRule="exact"/>
          <w:jc w:val="center"/>
        </w:trPr>
        <w:tc>
          <w:tcPr>
            <w:tcW w:w="2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w:t>
            </w:r>
          </w:p>
        </w:tc>
        <w:tc>
          <w:tcPr>
            <w:tcW w:w="97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8,346 </w:t>
            </w:r>
          </w:p>
        </w:tc>
        <w:tc>
          <w:tcPr>
            <w:tcW w:w="97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11,601 </w:t>
            </w:r>
          </w:p>
        </w:tc>
        <w:tc>
          <w:tcPr>
            <w:tcW w:w="9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9,728 </w:t>
            </w:r>
          </w:p>
        </w:tc>
        <w:tc>
          <w:tcPr>
            <w:tcW w:w="1363" w:type="dxa"/>
            <w:gridSpan w:val="3"/>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133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16.56 </w:t>
            </w:r>
          </w:p>
        </w:tc>
        <w:tc>
          <w:tcPr>
            <w:tcW w:w="1296"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45" w:type="dxa"/>
            <w:bottom w:w="17" w:type="dxa"/>
            <w:right w:w="45" w:type="dxa"/>
          </w:tblCellMar>
        </w:tblPrEx>
        <w:trPr>
          <w:gridBefore w:val="2"/>
          <w:wBefore w:w="29" w:type="dxa"/>
          <w:trHeight w:val="420" w:hRule="exact"/>
          <w:jc w:val="center"/>
        </w:trPr>
        <w:tc>
          <w:tcPr>
            <w:tcW w:w="2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国防</w:t>
            </w:r>
          </w:p>
        </w:tc>
        <w:tc>
          <w:tcPr>
            <w:tcW w:w="972"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971" w:type="dxa"/>
            <w:gridSpan w:val="3"/>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904"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1363" w:type="dxa"/>
            <w:gridSpan w:val="3"/>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1330"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1296"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45" w:type="dxa"/>
            <w:bottom w:w="17" w:type="dxa"/>
            <w:right w:w="45" w:type="dxa"/>
          </w:tblCellMar>
        </w:tblPrEx>
        <w:trPr>
          <w:gridBefore w:val="2"/>
          <w:wBefore w:w="29" w:type="dxa"/>
          <w:trHeight w:val="420" w:hRule="exact"/>
          <w:jc w:val="center"/>
        </w:trPr>
        <w:tc>
          <w:tcPr>
            <w:tcW w:w="2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公共安全</w:t>
            </w:r>
          </w:p>
        </w:tc>
        <w:tc>
          <w:tcPr>
            <w:tcW w:w="97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1,096 </w:t>
            </w:r>
          </w:p>
        </w:tc>
        <w:tc>
          <w:tcPr>
            <w:tcW w:w="97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1,854 </w:t>
            </w:r>
          </w:p>
        </w:tc>
        <w:tc>
          <w:tcPr>
            <w:tcW w:w="9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1,492 </w:t>
            </w:r>
          </w:p>
        </w:tc>
        <w:tc>
          <w:tcPr>
            <w:tcW w:w="1363" w:type="dxa"/>
            <w:gridSpan w:val="3"/>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133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36.13 </w:t>
            </w:r>
          </w:p>
        </w:tc>
        <w:tc>
          <w:tcPr>
            <w:tcW w:w="1296"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45" w:type="dxa"/>
            <w:bottom w:w="17" w:type="dxa"/>
            <w:right w:w="45" w:type="dxa"/>
          </w:tblCellMar>
        </w:tblPrEx>
        <w:trPr>
          <w:gridBefore w:val="2"/>
          <w:wBefore w:w="29" w:type="dxa"/>
          <w:trHeight w:val="420" w:hRule="exact"/>
          <w:jc w:val="center"/>
        </w:trPr>
        <w:tc>
          <w:tcPr>
            <w:tcW w:w="2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w:t>
            </w:r>
          </w:p>
        </w:tc>
        <w:tc>
          <w:tcPr>
            <w:tcW w:w="972"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97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23 </w:t>
            </w:r>
          </w:p>
        </w:tc>
        <w:tc>
          <w:tcPr>
            <w:tcW w:w="904"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1363" w:type="dxa"/>
            <w:gridSpan w:val="3"/>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1330"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1296"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45" w:type="dxa"/>
            <w:bottom w:w="17" w:type="dxa"/>
            <w:right w:w="45" w:type="dxa"/>
          </w:tblCellMar>
        </w:tblPrEx>
        <w:trPr>
          <w:gridBefore w:val="2"/>
          <w:wBefore w:w="29" w:type="dxa"/>
          <w:trHeight w:val="420" w:hRule="exact"/>
          <w:jc w:val="center"/>
        </w:trPr>
        <w:tc>
          <w:tcPr>
            <w:tcW w:w="2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科学技术</w:t>
            </w:r>
          </w:p>
        </w:tc>
        <w:tc>
          <w:tcPr>
            <w:tcW w:w="97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100 </w:t>
            </w:r>
          </w:p>
        </w:tc>
        <w:tc>
          <w:tcPr>
            <w:tcW w:w="97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82 </w:t>
            </w:r>
          </w:p>
        </w:tc>
        <w:tc>
          <w:tcPr>
            <w:tcW w:w="9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130 </w:t>
            </w:r>
          </w:p>
        </w:tc>
        <w:tc>
          <w:tcPr>
            <w:tcW w:w="1363" w:type="dxa"/>
            <w:gridSpan w:val="3"/>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133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30.00 </w:t>
            </w:r>
          </w:p>
        </w:tc>
        <w:tc>
          <w:tcPr>
            <w:tcW w:w="1296"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45" w:type="dxa"/>
            <w:bottom w:w="17" w:type="dxa"/>
            <w:right w:w="45" w:type="dxa"/>
          </w:tblCellMar>
        </w:tblPrEx>
        <w:trPr>
          <w:gridBefore w:val="2"/>
          <w:wBefore w:w="29" w:type="dxa"/>
          <w:trHeight w:val="420" w:hRule="exact"/>
          <w:jc w:val="center"/>
        </w:trPr>
        <w:tc>
          <w:tcPr>
            <w:tcW w:w="2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文化体育与传媒</w:t>
            </w:r>
          </w:p>
        </w:tc>
        <w:tc>
          <w:tcPr>
            <w:tcW w:w="97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476 </w:t>
            </w:r>
          </w:p>
        </w:tc>
        <w:tc>
          <w:tcPr>
            <w:tcW w:w="97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842 </w:t>
            </w:r>
          </w:p>
        </w:tc>
        <w:tc>
          <w:tcPr>
            <w:tcW w:w="9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753 </w:t>
            </w:r>
          </w:p>
        </w:tc>
        <w:tc>
          <w:tcPr>
            <w:tcW w:w="1363" w:type="dxa"/>
            <w:gridSpan w:val="3"/>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133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58.19 </w:t>
            </w:r>
          </w:p>
        </w:tc>
        <w:tc>
          <w:tcPr>
            <w:tcW w:w="1296"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45" w:type="dxa"/>
            <w:bottom w:w="17" w:type="dxa"/>
            <w:right w:w="45" w:type="dxa"/>
          </w:tblCellMar>
        </w:tblPrEx>
        <w:trPr>
          <w:gridBefore w:val="2"/>
          <w:wBefore w:w="29" w:type="dxa"/>
          <w:trHeight w:val="420" w:hRule="exact"/>
          <w:jc w:val="center"/>
        </w:trPr>
        <w:tc>
          <w:tcPr>
            <w:tcW w:w="2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w:t>
            </w:r>
          </w:p>
        </w:tc>
        <w:tc>
          <w:tcPr>
            <w:tcW w:w="97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5,617 </w:t>
            </w:r>
          </w:p>
        </w:tc>
        <w:tc>
          <w:tcPr>
            <w:tcW w:w="97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18,892 </w:t>
            </w:r>
          </w:p>
        </w:tc>
        <w:tc>
          <w:tcPr>
            <w:tcW w:w="9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6,109 </w:t>
            </w:r>
          </w:p>
        </w:tc>
        <w:tc>
          <w:tcPr>
            <w:tcW w:w="1363" w:type="dxa"/>
            <w:gridSpan w:val="3"/>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133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8.76 </w:t>
            </w:r>
          </w:p>
        </w:tc>
        <w:tc>
          <w:tcPr>
            <w:tcW w:w="1296"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45" w:type="dxa"/>
            <w:bottom w:w="17" w:type="dxa"/>
            <w:right w:w="45" w:type="dxa"/>
          </w:tblCellMar>
        </w:tblPrEx>
        <w:trPr>
          <w:gridBefore w:val="2"/>
          <w:wBefore w:w="29" w:type="dxa"/>
          <w:trHeight w:val="420" w:hRule="exact"/>
          <w:jc w:val="center"/>
        </w:trPr>
        <w:tc>
          <w:tcPr>
            <w:tcW w:w="2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医疗卫生与计划生育</w:t>
            </w:r>
          </w:p>
        </w:tc>
        <w:tc>
          <w:tcPr>
            <w:tcW w:w="97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2,262 </w:t>
            </w:r>
          </w:p>
        </w:tc>
        <w:tc>
          <w:tcPr>
            <w:tcW w:w="97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4,509 </w:t>
            </w:r>
          </w:p>
        </w:tc>
        <w:tc>
          <w:tcPr>
            <w:tcW w:w="9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2,046 </w:t>
            </w:r>
          </w:p>
        </w:tc>
        <w:tc>
          <w:tcPr>
            <w:tcW w:w="1363" w:type="dxa"/>
            <w:gridSpan w:val="3"/>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133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-9.55 </w:t>
            </w:r>
          </w:p>
        </w:tc>
        <w:tc>
          <w:tcPr>
            <w:tcW w:w="1296"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45" w:type="dxa"/>
            <w:bottom w:w="17" w:type="dxa"/>
            <w:right w:w="45" w:type="dxa"/>
          </w:tblCellMar>
        </w:tblPrEx>
        <w:trPr>
          <w:gridBefore w:val="2"/>
          <w:wBefore w:w="29" w:type="dxa"/>
          <w:trHeight w:val="420" w:hRule="exact"/>
          <w:jc w:val="center"/>
        </w:trPr>
        <w:tc>
          <w:tcPr>
            <w:tcW w:w="2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节能环保</w:t>
            </w:r>
          </w:p>
        </w:tc>
        <w:tc>
          <w:tcPr>
            <w:tcW w:w="97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1,015 </w:t>
            </w:r>
          </w:p>
        </w:tc>
        <w:tc>
          <w:tcPr>
            <w:tcW w:w="97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9,810 </w:t>
            </w:r>
          </w:p>
        </w:tc>
        <w:tc>
          <w:tcPr>
            <w:tcW w:w="9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1,159 </w:t>
            </w:r>
          </w:p>
        </w:tc>
        <w:tc>
          <w:tcPr>
            <w:tcW w:w="1363" w:type="dxa"/>
            <w:gridSpan w:val="3"/>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133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14.19 </w:t>
            </w:r>
          </w:p>
        </w:tc>
        <w:tc>
          <w:tcPr>
            <w:tcW w:w="1296"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45" w:type="dxa"/>
            <w:bottom w:w="17" w:type="dxa"/>
            <w:right w:w="45" w:type="dxa"/>
          </w:tblCellMar>
        </w:tblPrEx>
        <w:trPr>
          <w:gridBefore w:val="2"/>
          <w:wBefore w:w="29" w:type="dxa"/>
          <w:trHeight w:val="420" w:hRule="exact"/>
          <w:jc w:val="center"/>
        </w:trPr>
        <w:tc>
          <w:tcPr>
            <w:tcW w:w="2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w:t>
            </w:r>
          </w:p>
        </w:tc>
        <w:tc>
          <w:tcPr>
            <w:tcW w:w="97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3,013 </w:t>
            </w:r>
          </w:p>
        </w:tc>
        <w:tc>
          <w:tcPr>
            <w:tcW w:w="97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5,203 </w:t>
            </w:r>
          </w:p>
        </w:tc>
        <w:tc>
          <w:tcPr>
            <w:tcW w:w="9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2,570 </w:t>
            </w:r>
          </w:p>
        </w:tc>
        <w:tc>
          <w:tcPr>
            <w:tcW w:w="1363" w:type="dxa"/>
            <w:gridSpan w:val="3"/>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133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-14.70 </w:t>
            </w:r>
          </w:p>
        </w:tc>
        <w:tc>
          <w:tcPr>
            <w:tcW w:w="1296"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45" w:type="dxa"/>
            <w:bottom w:w="17" w:type="dxa"/>
            <w:right w:w="45" w:type="dxa"/>
          </w:tblCellMar>
        </w:tblPrEx>
        <w:trPr>
          <w:gridBefore w:val="2"/>
          <w:wBefore w:w="29" w:type="dxa"/>
          <w:trHeight w:val="420" w:hRule="exact"/>
          <w:jc w:val="center"/>
        </w:trPr>
        <w:tc>
          <w:tcPr>
            <w:tcW w:w="2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w:t>
            </w:r>
          </w:p>
        </w:tc>
        <w:tc>
          <w:tcPr>
            <w:tcW w:w="97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11,024 </w:t>
            </w:r>
          </w:p>
        </w:tc>
        <w:tc>
          <w:tcPr>
            <w:tcW w:w="97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63,137 </w:t>
            </w:r>
          </w:p>
        </w:tc>
        <w:tc>
          <w:tcPr>
            <w:tcW w:w="9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13,218 </w:t>
            </w:r>
          </w:p>
        </w:tc>
        <w:tc>
          <w:tcPr>
            <w:tcW w:w="1363" w:type="dxa"/>
            <w:gridSpan w:val="3"/>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133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19.90 </w:t>
            </w:r>
          </w:p>
        </w:tc>
        <w:tc>
          <w:tcPr>
            <w:tcW w:w="1296"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45" w:type="dxa"/>
            <w:bottom w:w="17" w:type="dxa"/>
            <w:right w:w="45" w:type="dxa"/>
          </w:tblCellMar>
        </w:tblPrEx>
        <w:trPr>
          <w:gridBefore w:val="2"/>
          <w:wBefore w:w="29" w:type="dxa"/>
          <w:trHeight w:val="420" w:hRule="exact"/>
          <w:jc w:val="center"/>
        </w:trPr>
        <w:tc>
          <w:tcPr>
            <w:tcW w:w="2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交通运输</w:t>
            </w:r>
          </w:p>
        </w:tc>
        <w:tc>
          <w:tcPr>
            <w:tcW w:w="972"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97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7,428 </w:t>
            </w:r>
          </w:p>
        </w:tc>
        <w:tc>
          <w:tcPr>
            <w:tcW w:w="9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407 </w:t>
            </w:r>
          </w:p>
        </w:tc>
        <w:tc>
          <w:tcPr>
            <w:tcW w:w="1363" w:type="dxa"/>
            <w:gridSpan w:val="3"/>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1330"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1296"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45" w:type="dxa"/>
            <w:bottom w:w="17" w:type="dxa"/>
            <w:right w:w="45" w:type="dxa"/>
          </w:tblCellMar>
        </w:tblPrEx>
        <w:trPr>
          <w:gridBefore w:val="2"/>
          <w:wBefore w:w="29" w:type="dxa"/>
          <w:trHeight w:val="420" w:hRule="exact"/>
          <w:jc w:val="center"/>
        </w:trPr>
        <w:tc>
          <w:tcPr>
            <w:tcW w:w="2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资源勘探信息等</w:t>
            </w:r>
          </w:p>
        </w:tc>
        <w:tc>
          <w:tcPr>
            <w:tcW w:w="97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148 </w:t>
            </w:r>
          </w:p>
        </w:tc>
        <w:tc>
          <w:tcPr>
            <w:tcW w:w="97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208 </w:t>
            </w:r>
          </w:p>
        </w:tc>
        <w:tc>
          <w:tcPr>
            <w:tcW w:w="9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64 </w:t>
            </w:r>
          </w:p>
        </w:tc>
        <w:tc>
          <w:tcPr>
            <w:tcW w:w="1363" w:type="dxa"/>
            <w:gridSpan w:val="3"/>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133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-56.76 </w:t>
            </w:r>
          </w:p>
        </w:tc>
        <w:tc>
          <w:tcPr>
            <w:tcW w:w="1296"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45" w:type="dxa"/>
            <w:bottom w:w="17" w:type="dxa"/>
            <w:right w:w="45" w:type="dxa"/>
          </w:tblCellMar>
        </w:tblPrEx>
        <w:trPr>
          <w:gridBefore w:val="2"/>
          <w:wBefore w:w="29" w:type="dxa"/>
          <w:trHeight w:val="420" w:hRule="exact"/>
          <w:jc w:val="center"/>
        </w:trPr>
        <w:tc>
          <w:tcPr>
            <w:tcW w:w="2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商业服务业等</w:t>
            </w:r>
          </w:p>
        </w:tc>
        <w:tc>
          <w:tcPr>
            <w:tcW w:w="97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200 </w:t>
            </w:r>
          </w:p>
        </w:tc>
        <w:tc>
          <w:tcPr>
            <w:tcW w:w="97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680 </w:t>
            </w:r>
          </w:p>
        </w:tc>
        <w:tc>
          <w:tcPr>
            <w:tcW w:w="904"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1363" w:type="dxa"/>
            <w:gridSpan w:val="3"/>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1330"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1296"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45" w:type="dxa"/>
            <w:bottom w:w="17" w:type="dxa"/>
            <w:right w:w="45" w:type="dxa"/>
          </w:tblCellMar>
        </w:tblPrEx>
        <w:trPr>
          <w:gridBefore w:val="2"/>
          <w:wBefore w:w="29" w:type="dxa"/>
          <w:trHeight w:val="420" w:hRule="exact"/>
          <w:jc w:val="center"/>
        </w:trPr>
        <w:tc>
          <w:tcPr>
            <w:tcW w:w="2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金融</w:t>
            </w:r>
          </w:p>
        </w:tc>
        <w:tc>
          <w:tcPr>
            <w:tcW w:w="972"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971" w:type="dxa"/>
            <w:gridSpan w:val="3"/>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904"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1363" w:type="dxa"/>
            <w:gridSpan w:val="3"/>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1330"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1296"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45" w:type="dxa"/>
            <w:bottom w:w="17" w:type="dxa"/>
            <w:right w:w="45" w:type="dxa"/>
          </w:tblCellMar>
        </w:tblPrEx>
        <w:trPr>
          <w:gridBefore w:val="2"/>
          <w:wBefore w:w="29" w:type="dxa"/>
          <w:trHeight w:val="420" w:hRule="exact"/>
          <w:jc w:val="center"/>
        </w:trPr>
        <w:tc>
          <w:tcPr>
            <w:tcW w:w="2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国土海洋气象等</w:t>
            </w:r>
          </w:p>
        </w:tc>
        <w:tc>
          <w:tcPr>
            <w:tcW w:w="97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52 </w:t>
            </w:r>
          </w:p>
        </w:tc>
        <w:tc>
          <w:tcPr>
            <w:tcW w:w="97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52 </w:t>
            </w:r>
          </w:p>
        </w:tc>
        <w:tc>
          <w:tcPr>
            <w:tcW w:w="9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52 </w:t>
            </w:r>
          </w:p>
        </w:tc>
        <w:tc>
          <w:tcPr>
            <w:tcW w:w="1363" w:type="dxa"/>
            <w:gridSpan w:val="3"/>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133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   </w:t>
            </w:r>
          </w:p>
        </w:tc>
        <w:tc>
          <w:tcPr>
            <w:tcW w:w="1296"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45" w:type="dxa"/>
            <w:bottom w:w="17" w:type="dxa"/>
            <w:right w:w="45" w:type="dxa"/>
          </w:tblCellMar>
        </w:tblPrEx>
        <w:trPr>
          <w:gridBefore w:val="2"/>
          <w:wBefore w:w="29" w:type="dxa"/>
          <w:trHeight w:val="420" w:hRule="exact"/>
          <w:jc w:val="center"/>
        </w:trPr>
        <w:tc>
          <w:tcPr>
            <w:tcW w:w="2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w:t>
            </w:r>
          </w:p>
        </w:tc>
        <w:tc>
          <w:tcPr>
            <w:tcW w:w="97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841 </w:t>
            </w:r>
          </w:p>
        </w:tc>
        <w:tc>
          <w:tcPr>
            <w:tcW w:w="97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-86 </w:t>
            </w:r>
          </w:p>
        </w:tc>
        <w:tc>
          <w:tcPr>
            <w:tcW w:w="9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1,309 </w:t>
            </w:r>
          </w:p>
        </w:tc>
        <w:tc>
          <w:tcPr>
            <w:tcW w:w="1363" w:type="dxa"/>
            <w:gridSpan w:val="3"/>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133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55.65 </w:t>
            </w:r>
          </w:p>
        </w:tc>
        <w:tc>
          <w:tcPr>
            <w:tcW w:w="1296"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45" w:type="dxa"/>
            <w:bottom w:w="17" w:type="dxa"/>
            <w:right w:w="45" w:type="dxa"/>
          </w:tblCellMar>
        </w:tblPrEx>
        <w:trPr>
          <w:gridBefore w:val="2"/>
          <w:wBefore w:w="29" w:type="dxa"/>
          <w:trHeight w:val="420" w:hRule="exact"/>
          <w:jc w:val="center"/>
        </w:trPr>
        <w:tc>
          <w:tcPr>
            <w:tcW w:w="2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粮油物资储备</w:t>
            </w:r>
          </w:p>
        </w:tc>
        <w:tc>
          <w:tcPr>
            <w:tcW w:w="97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100 </w:t>
            </w:r>
          </w:p>
        </w:tc>
        <w:tc>
          <w:tcPr>
            <w:tcW w:w="97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38 </w:t>
            </w:r>
          </w:p>
        </w:tc>
        <w:tc>
          <w:tcPr>
            <w:tcW w:w="9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100 </w:t>
            </w:r>
          </w:p>
        </w:tc>
        <w:tc>
          <w:tcPr>
            <w:tcW w:w="1363" w:type="dxa"/>
            <w:gridSpan w:val="3"/>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133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   </w:t>
            </w:r>
          </w:p>
        </w:tc>
        <w:tc>
          <w:tcPr>
            <w:tcW w:w="1296"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45" w:type="dxa"/>
            <w:bottom w:w="17" w:type="dxa"/>
            <w:right w:w="45" w:type="dxa"/>
          </w:tblCellMar>
        </w:tblPrEx>
        <w:trPr>
          <w:gridBefore w:val="2"/>
          <w:wBefore w:w="29" w:type="dxa"/>
          <w:trHeight w:val="480" w:hRule="atLeast"/>
          <w:jc w:val="center"/>
        </w:trPr>
        <w:tc>
          <w:tcPr>
            <w:tcW w:w="2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灾害防治及应急管理支出</w:t>
            </w:r>
          </w:p>
        </w:tc>
        <w:tc>
          <w:tcPr>
            <w:tcW w:w="972"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971" w:type="dxa"/>
            <w:gridSpan w:val="3"/>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9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136 </w:t>
            </w:r>
          </w:p>
        </w:tc>
        <w:tc>
          <w:tcPr>
            <w:tcW w:w="1363" w:type="dxa"/>
            <w:gridSpan w:val="3"/>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1330"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1296"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45" w:type="dxa"/>
            <w:bottom w:w="17" w:type="dxa"/>
            <w:right w:w="45" w:type="dxa"/>
          </w:tblCellMar>
        </w:tblPrEx>
        <w:trPr>
          <w:gridBefore w:val="2"/>
          <w:wBefore w:w="29" w:type="dxa"/>
          <w:trHeight w:val="408" w:hRule="atLeast"/>
          <w:jc w:val="center"/>
        </w:trPr>
        <w:tc>
          <w:tcPr>
            <w:tcW w:w="2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预备费</w:t>
            </w:r>
          </w:p>
        </w:tc>
        <w:tc>
          <w:tcPr>
            <w:tcW w:w="97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400 </w:t>
            </w:r>
          </w:p>
        </w:tc>
        <w:tc>
          <w:tcPr>
            <w:tcW w:w="971" w:type="dxa"/>
            <w:gridSpan w:val="3"/>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9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450 </w:t>
            </w:r>
          </w:p>
        </w:tc>
        <w:tc>
          <w:tcPr>
            <w:tcW w:w="1363" w:type="dxa"/>
            <w:gridSpan w:val="3"/>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133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12.50 </w:t>
            </w:r>
          </w:p>
        </w:tc>
        <w:tc>
          <w:tcPr>
            <w:tcW w:w="1296"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45" w:type="dxa"/>
            <w:bottom w:w="17" w:type="dxa"/>
            <w:right w:w="45" w:type="dxa"/>
          </w:tblCellMar>
        </w:tblPrEx>
        <w:trPr>
          <w:gridBefore w:val="2"/>
          <w:wBefore w:w="29" w:type="dxa"/>
          <w:trHeight w:val="408" w:hRule="atLeast"/>
          <w:jc w:val="center"/>
        </w:trPr>
        <w:tc>
          <w:tcPr>
            <w:tcW w:w="2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97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3,124 </w:t>
            </w:r>
          </w:p>
        </w:tc>
        <w:tc>
          <w:tcPr>
            <w:tcW w:w="97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28 </w:t>
            </w:r>
          </w:p>
        </w:tc>
        <w:tc>
          <w:tcPr>
            <w:tcW w:w="9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557 </w:t>
            </w:r>
          </w:p>
        </w:tc>
        <w:tc>
          <w:tcPr>
            <w:tcW w:w="1363" w:type="dxa"/>
            <w:gridSpan w:val="3"/>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133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-82.17 </w:t>
            </w:r>
          </w:p>
        </w:tc>
        <w:tc>
          <w:tcPr>
            <w:tcW w:w="1296"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45" w:type="dxa"/>
            <w:bottom w:w="17" w:type="dxa"/>
            <w:right w:w="45" w:type="dxa"/>
          </w:tblCellMar>
        </w:tblPrEx>
        <w:trPr>
          <w:gridBefore w:val="2"/>
          <w:wBefore w:w="29" w:type="dxa"/>
          <w:trHeight w:val="408" w:hRule="atLeast"/>
          <w:jc w:val="center"/>
        </w:trPr>
        <w:tc>
          <w:tcPr>
            <w:tcW w:w="2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债务付息支出</w:t>
            </w:r>
          </w:p>
        </w:tc>
        <w:tc>
          <w:tcPr>
            <w:tcW w:w="97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1,486 </w:t>
            </w:r>
          </w:p>
        </w:tc>
        <w:tc>
          <w:tcPr>
            <w:tcW w:w="971" w:type="dxa"/>
            <w:gridSpan w:val="3"/>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9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1,970 </w:t>
            </w:r>
          </w:p>
        </w:tc>
        <w:tc>
          <w:tcPr>
            <w:tcW w:w="1363" w:type="dxa"/>
            <w:gridSpan w:val="3"/>
            <w:tcBorders>
              <w:top w:val="single" w:color="000000" w:sz="4" w:space="0"/>
              <w:left w:val="single" w:color="000000" w:sz="4" w:space="0"/>
              <w:bottom w:val="single" w:color="000000" w:sz="4" w:space="0"/>
              <w:right w:val="single" w:color="000000" w:sz="4" w:space="0"/>
            </w:tcBorders>
            <w:shd w:val="clear"/>
            <w:vAlign w:val="center"/>
          </w:tcPr>
          <w:p>
            <w:pPr>
              <w:jc w:val="right"/>
              <w:rPr>
                <w:rFonts w:hint="default" w:ascii="Times New Roman" w:hAnsi="Times New Roman" w:eastAsia="宋体" w:cs="Times New Roman"/>
                <w:i w:val="0"/>
                <w:color w:val="000000"/>
                <w:sz w:val="24"/>
                <w:szCs w:val="24"/>
                <w:u w:val="none"/>
              </w:rPr>
            </w:pPr>
          </w:p>
        </w:tc>
        <w:tc>
          <w:tcPr>
            <w:tcW w:w="133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32.57 </w:t>
            </w:r>
          </w:p>
        </w:tc>
        <w:tc>
          <w:tcPr>
            <w:tcW w:w="1296"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74" w:type="dxa"/>
            <w:bottom w:w="17" w:type="dxa"/>
            <w:right w:w="74" w:type="dxa"/>
          </w:tblCellMar>
        </w:tblPrEx>
        <w:trPr>
          <w:gridAfter w:val="2"/>
          <w:wAfter w:w="29" w:type="dxa"/>
          <w:trHeight w:val="450" w:hRule="atLeast"/>
          <w:jc w:val="center"/>
        </w:trPr>
        <w:tc>
          <w:tcPr>
            <w:tcW w:w="4006" w:type="dxa"/>
            <w:gridSpan w:val="7"/>
            <w:shd w:val="clear"/>
            <w:vAlign w:val="bottom"/>
          </w:tcPr>
          <w:p>
            <w:pPr>
              <w:keepNext w:val="0"/>
              <w:keepLines w:val="0"/>
              <w:widowControl/>
              <w:suppressLineNumbers w:val="0"/>
              <w:jc w:val="left"/>
              <w:textAlignment w:val="bottom"/>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附表五：</w:t>
            </w:r>
          </w:p>
        </w:tc>
        <w:tc>
          <w:tcPr>
            <w:tcW w:w="2353" w:type="dxa"/>
            <w:gridSpan w:val="5"/>
            <w:shd w:val="clear"/>
            <w:vAlign w:val="center"/>
          </w:tcPr>
          <w:p>
            <w:pPr>
              <w:rPr>
                <w:rFonts w:hint="eastAsia" w:ascii="宋体" w:hAnsi="宋体" w:eastAsia="宋体" w:cs="宋体"/>
                <w:i w:val="0"/>
                <w:color w:val="000000"/>
                <w:sz w:val="24"/>
                <w:szCs w:val="24"/>
                <w:u w:val="none"/>
              </w:rPr>
            </w:pPr>
          </w:p>
        </w:tc>
        <w:tc>
          <w:tcPr>
            <w:tcW w:w="2712" w:type="dxa"/>
            <w:gridSpan w:val="4"/>
            <w:shd w:val="clear"/>
            <w:vAlign w:val="bottom"/>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74" w:type="dxa"/>
            <w:bottom w:w="17" w:type="dxa"/>
            <w:right w:w="74" w:type="dxa"/>
          </w:tblCellMar>
        </w:tblPrEx>
        <w:trPr>
          <w:gridAfter w:val="2"/>
          <w:wAfter w:w="29" w:type="dxa"/>
          <w:trHeight w:val="670" w:hRule="atLeast"/>
          <w:jc w:val="center"/>
        </w:trPr>
        <w:tc>
          <w:tcPr>
            <w:tcW w:w="9071" w:type="dxa"/>
            <w:gridSpan w:val="16"/>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2019年沙坡头区一般公共预算基本支出明细表（草案）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74" w:type="dxa"/>
            <w:bottom w:w="17" w:type="dxa"/>
            <w:right w:w="74" w:type="dxa"/>
          </w:tblCellMar>
        </w:tblPrEx>
        <w:trPr>
          <w:gridAfter w:val="2"/>
          <w:wAfter w:w="29" w:type="dxa"/>
          <w:trHeight w:val="246" w:hRule="atLeast"/>
          <w:jc w:val="center"/>
        </w:trPr>
        <w:tc>
          <w:tcPr>
            <w:tcW w:w="4006" w:type="dxa"/>
            <w:gridSpan w:val="7"/>
            <w:shd w:val="clear"/>
            <w:vAlign w:val="center"/>
          </w:tcPr>
          <w:p>
            <w:pPr>
              <w:rPr>
                <w:rFonts w:hint="eastAsia" w:ascii="宋体" w:hAnsi="宋体" w:eastAsia="宋体" w:cs="宋体"/>
                <w:i w:val="0"/>
                <w:color w:val="000000"/>
                <w:sz w:val="24"/>
                <w:szCs w:val="24"/>
                <w:u w:val="none"/>
              </w:rPr>
            </w:pPr>
          </w:p>
        </w:tc>
        <w:tc>
          <w:tcPr>
            <w:tcW w:w="2353" w:type="dxa"/>
            <w:gridSpan w:val="5"/>
            <w:shd w:val="clear"/>
            <w:vAlign w:val="bottom"/>
          </w:tcPr>
          <w:p>
            <w:pPr>
              <w:jc w:val="center"/>
              <w:rPr>
                <w:rFonts w:hint="default" w:ascii="Times New Roman" w:hAnsi="Times New Roman" w:eastAsia="宋体" w:cs="Times New Roman"/>
                <w:i w:val="0"/>
                <w:color w:val="000000"/>
                <w:sz w:val="22"/>
                <w:szCs w:val="22"/>
                <w:u w:val="none"/>
              </w:rPr>
            </w:pPr>
          </w:p>
        </w:tc>
        <w:tc>
          <w:tcPr>
            <w:tcW w:w="2712" w:type="dxa"/>
            <w:gridSpan w:val="4"/>
            <w:shd w:val="cle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74" w:type="dxa"/>
            <w:bottom w:w="17" w:type="dxa"/>
            <w:right w:w="74" w:type="dxa"/>
          </w:tblCellMar>
        </w:tblPrEx>
        <w:trPr>
          <w:gridAfter w:val="2"/>
          <w:wAfter w:w="29" w:type="dxa"/>
          <w:trHeight w:val="641" w:hRule="atLeast"/>
          <w:jc w:val="center"/>
        </w:trPr>
        <w:tc>
          <w:tcPr>
            <w:tcW w:w="4006"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政府预算支出经济分类科目</w:t>
            </w:r>
          </w:p>
        </w:tc>
        <w:tc>
          <w:tcPr>
            <w:tcW w:w="2353" w:type="dxa"/>
            <w:gridSpan w:val="5"/>
            <w:tcBorders>
              <w:top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2019年预算数</w:t>
            </w:r>
          </w:p>
        </w:tc>
        <w:tc>
          <w:tcPr>
            <w:tcW w:w="2712"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备</w:t>
            </w:r>
            <w:r>
              <w:rPr>
                <w:rFonts w:hint="eastAsia" w:ascii="Times New Roman" w:hAnsi="Times New Roman" w:eastAsia="宋体" w:cs="Times New Roman"/>
                <w:b/>
                <w:i w:val="0"/>
                <w:color w:val="000000"/>
                <w:kern w:val="0"/>
                <w:sz w:val="24"/>
                <w:szCs w:val="24"/>
                <w:u w:val="none"/>
                <w:lang w:val="en-US" w:eastAsia="zh-CN" w:bidi="ar"/>
              </w:rPr>
              <w:t xml:space="preserve">    </w:t>
            </w:r>
            <w:r>
              <w:rPr>
                <w:rFonts w:hint="default" w:ascii="Times New Roman" w:hAnsi="Times New Roman" w:eastAsia="宋体" w:cs="Times New Roman"/>
                <w:b/>
                <w:i w:val="0"/>
                <w:color w:val="000000"/>
                <w:kern w:val="0"/>
                <w:sz w:val="24"/>
                <w:szCs w:val="24"/>
                <w:u w:val="none"/>
                <w:lang w:val="en-US" w:eastAsia="zh-CN" w:bidi="ar"/>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74" w:type="dxa"/>
            <w:bottom w:w="17" w:type="dxa"/>
            <w:right w:w="74" w:type="dxa"/>
          </w:tblCellMar>
        </w:tblPrEx>
        <w:trPr>
          <w:gridAfter w:val="2"/>
          <w:wAfter w:w="29" w:type="dxa"/>
          <w:trHeight w:val="476" w:hRule="exact"/>
          <w:jc w:val="center"/>
        </w:trPr>
        <w:tc>
          <w:tcPr>
            <w:tcW w:w="4006"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2353" w:type="dxa"/>
            <w:gridSpan w:val="5"/>
            <w:tcBorders>
              <w:top w:val="single" w:color="000000" w:sz="4" w:space="0"/>
              <w:bottom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23,250 </w:t>
            </w:r>
          </w:p>
        </w:tc>
        <w:tc>
          <w:tcPr>
            <w:tcW w:w="2712" w:type="dxa"/>
            <w:gridSpan w:val="4"/>
            <w:tcBorders>
              <w:top w:val="single" w:color="000000" w:sz="4" w:space="0"/>
              <w:left w:val="single" w:color="000000" w:sz="4" w:space="0"/>
              <w:bottom w:val="single" w:color="000000" w:sz="4" w:space="0"/>
              <w:right w:val="single" w:color="000000" w:sz="4" w:space="0"/>
            </w:tcBorders>
            <w:shd w:val="clear"/>
            <w:vAlign w:val="bottom"/>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74" w:type="dxa"/>
            <w:bottom w:w="17" w:type="dxa"/>
            <w:right w:w="74" w:type="dxa"/>
          </w:tblCellMar>
        </w:tblPrEx>
        <w:trPr>
          <w:gridAfter w:val="2"/>
          <w:wAfter w:w="29" w:type="dxa"/>
          <w:trHeight w:val="476" w:hRule="exact"/>
          <w:jc w:val="center"/>
        </w:trPr>
        <w:tc>
          <w:tcPr>
            <w:tcW w:w="4006"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501-机关工资福利支出</w:t>
            </w:r>
          </w:p>
        </w:tc>
        <w:tc>
          <w:tcPr>
            <w:tcW w:w="2353" w:type="dxa"/>
            <w:gridSpan w:val="5"/>
            <w:tcBorders>
              <w:top w:val="single" w:color="000000" w:sz="4" w:space="0"/>
              <w:bottom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10,463 </w:t>
            </w:r>
          </w:p>
        </w:tc>
        <w:tc>
          <w:tcPr>
            <w:tcW w:w="2712" w:type="dxa"/>
            <w:gridSpan w:val="4"/>
            <w:tcBorders>
              <w:top w:val="single" w:color="000000" w:sz="4" w:space="0"/>
              <w:left w:val="single" w:color="000000" w:sz="4" w:space="0"/>
              <w:bottom w:val="single" w:color="000000" w:sz="4" w:space="0"/>
              <w:right w:val="single" w:color="000000" w:sz="4" w:space="0"/>
            </w:tcBorders>
            <w:shd w:val="clear"/>
            <w:vAlign w:val="bottom"/>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74" w:type="dxa"/>
            <w:bottom w:w="17" w:type="dxa"/>
            <w:right w:w="74" w:type="dxa"/>
          </w:tblCellMar>
        </w:tblPrEx>
        <w:trPr>
          <w:gridAfter w:val="2"/>
          <w:wAfter w:w="29" w:type="dxa"/>
          <w:trHeight w:val="476" w:hRule="exact"/>
          <w:jc w:val="center"/>
        </w:trPr>
        <w:tc>
          <w:tcPr>
            <w:tcW w:w="4006"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50101-</w:t>
            </w:r>
            <w:r>
              <w:rPr>
                <w:rFonts w:hint="eastAsia" w:ascii="宋体" w:hAnsi="宋体" w:eastAsia="宋体" w:cs="宋体"/>
                <w:i w:val="0"/>
                <w:color w:val="000000"/>
                <w:kern w:val="0"/>
                <w:sz w:val="24"/>
                <w:szCs w:val="24"/>
                <w:u w:val="none"/>
                <w:lang w:val="en-US" w:eastAsia="zh-CN" w:bidi="ar"/>
              </w:rPr>
              <w:t>工资奖金津补贴</w:t>
            </w:r>
          </w:p>
        </w:tc>
        <w:tc>
          <w:tcPr>
            <w:tcW w:w="2353" w:type="dxa"/>
            <w:gridSpan w:val="5"/>
            <w:tcBorders>
              <w:top w:val="single" w:color="000000" w:sz="4" w:space="0"/>
              <w:bottom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6,879 </w:t>
            </w:r>
          </w:p>
        </w:tc>
        <w:tc>
          <w:tcPr>
            <w:tcW w:w="2712" w:type="dxa"/>
            <w:gridSpan w:val="4"/>
            <w:tcBorders>
              <w:top w:val="single" w:color="000000" w:sz="4" w:space="0"/>
              <w:left w:val="single" w:color="000000" w:sz="4" w:space="0"/>
              <w:bottom w:val="single" w:color="000000" w:sz="4" w:space="0"/>
              <w:right w:val="single" w:color="000000" w:sz="4" w:space="0"/>
            </w:tcBorders>
            <w:shd w:val="clear"/>
            <w:vAlign w:val="bottom"/>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74" w:type="dxa"/>
            <w:bottom w:w="17" w:type="dxa"/>
            <w:right w:w="74" w:type="dxa"/>
          </w:tblCellMar>
        </w:tblPrEx>
        <w:trPr>
          <w:gridAfter w:val="2"/>
          <w:wAfter w:w="29" w:type="dxa"/>
          <w:trHeight w:val="476" w:hRule="exact"/>
          <w:jc w:val="center"/>
        </w:trPr>
        <w:tc>
          <w:tcPr>
            <w:tcW w:w="4006"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50102-</w:t>
            </w:r>
            <w:r>
              <w:rPr>
                <w:rFonts w:hint="eastAsia" w:ascii="宋体" w:hAnsi="宋体" w:eastAsia="宋体" w:cs="宋体"/>
                <w:i w:val="0"/>
                <w:color w:val="000000"/>
                <w:kern w:val="0"/>
                <w:sz w:val="24"/>
                <w:szCs w:val="24"/>
                <w:u w:val="none"/>
                <w:lang w:val="en-US" w:eastAsia="zh-CN" w:bidi="ar"/>
              </w:rPr>
              <w:t>社会保障缴费</w:t>
            </w:r>
          </w:p>
        </w:tc>
        <w:tc>
          <w:tcPr>
            <w:tcW w:w="2353" w:type="dxa"/>
            <w:gridSpan w:val="5"/>
            <w:tcBorders>
              <w:top w:val="single" w:color="000000" w:sz="4" w:space="0"/>
              <w:bottom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2,015 </w:t>
            </w:r>
          </w:p>
        </w:tc>
        <w:tc>
          <w:tcPr>
            <w:tcW w:w="2712" w:type="dxa"/>
            <w:gridSpan w:val="4"/>
            <w:tcBorders>
              <w:top w:val="single" w:color="000000" w:sz="4" w:space="0"/>
              <w:left w:val="single" w:color="000000" w:sz="4" w:space="0"/>
              <w:bottom w:val="single" w:color="000000" w:sz="4" w:space="0"/>
              <w:right w:val="single" w:color="000000" w:sz="4" w:space="0"/>
            </w:tcBorders>
            <w:shd w:val="clear"/>
            <w:vAlign w:val="bottom"/>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74" w:type="dxa"/>
            <w:bottom w:w="17" w:type="dxa"/>
            <w:right w:w="74" w:type="dxa"/>
          </w:tblCellMar>
        </w:tblPrEx>
        <w:trPr>
          <w:gridAfter w:val="2"/>
          <w:wAfter w:w="29" w:type="dxa"/>
          <w:trHeight w:val="476" w:hRule="exact"/>
          <w:jc w:val="center"/>
        </w:trPr>
        <w:tc>
          <w:tcPr>
            <w:tcW w:w="4006"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50103-</w:t>
            </w:r>
            <w:r>
              <w:rPr>
                <w:rFonts w:hint="eastAsia" w:ascii="宋体" w:hAnsi="宋体" w:eastAsia="宋体" w:cs="宋体"/>
                <w:i w:val="0"/>
                <w:color w:val="000000"/>
                <w:kern w:val="0"/>
                <w:sz w:val="24"/>
                <w:szCs w:val="24"/>
                <w:u w:val="none"/>
                <w:lang w:val="en-US" w:eastAsia="zh-CN" w:bidi="ar"/>
              </w:rPr>
              <w:t>住房公积金</w:t>
            </w:r>
          </w:p>
        </w:tc>
        <w:tc>
          <w:tcPr>
            <w:tcW w:w="2353" w:type="dxa"/>
            <w:gridSpan w:val="5"/>
            <w:tcBorders>
              <w:top w:val="single" w:color="000000" w:sz="4" w:space="0"/>
              <w:bottom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575 </w:t>
            </w:r>
          </w:p>
        </w:tc>
        <w:tc>
          <w:tcPr>
            <w:tcW w:w="2712" w:type="dxa"/>
            <w:gridSpan w:val="4"/>
            <w:tcBorders>
              <w:top w:val="single" w:color="000000" w:sz="4" w:space="0"/>
              <w:left w:val="single" w:color="000000" w:sz="4" w:space="0"/>
              <w:bottom w:val="single" w:color="000000" w:sz="4" w:space="0"/>
              <w:right w:val="single" w:color="000000" w:sz="4" w:space="0"/>
            </w:tcBorders>
            <w:shd w:val="clear"/>
            <w:vAlign w:val="bottom"/>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74" w:type="dxa"/>
            <w:bottom w:w="17" w:type="dxa"/>
            <w:right w:w="74" w:type="dxa"/>
          </w:tblCellMar>
        </w:tblPrEx>
        <w:trPr>
          <w:gridAfter w:val="2"/>
          <w:wAfter w:w="29" w:type="dxa"/>
          <w:trHeight w:val="476" w:hRule="exact"/>
          <w:jc w:val="center"/>
        </w:trPr>
        <w:tc>
          <w:tcPr>
            <w:tcW w:w="4006"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50199-</w:t>
            </w:r>
            <w:r>
              <w:rPr>
                <w:rFonts w:hint="eastAsia" w:ascii="宋体" w:hAnsi="宋体" w:eastAsia="宋体" w:cs="宋体"/>
                <w:i w:val="0"/>
                <w:color w:val="000000"/>
                <w:kern w:val="0"/>
                <w:sz w:val="24"/>
                <w:szCs w:val="24"/>
                <w:u w:val="none"/>
                <w:lang w:val="en-US" w:eastAsia="zh-CN" w:bidi="ar"/>
              </w:rPr>
              <w:t>其他工资福利支出</w:t>
            </w:r>
          </w:p>
        </w:tc>
        <w:tc>
          <w:tcPr>
            <w:tcW w:w="2353" w:type="dxa"/>
            <w:gridSpan w:val="5"/>
            <w:tcBorders>
              <w:top w:val="single" w:color="000000" w:sz="4" w:space="0"/>
              <w:bottom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994 </w:t>
            </w:r>
          </w:p>
        </w:tc>
        <w:tc>
          <w:tcPr>
            <w:tcW w:w="2712" w:type="dxa"/>
            <w:gridSpan w:val="4"/>
            <w:tcBorders>
              <w:top w:val="single" w:color="000000" w:sz="4" w:space="0"/>
              <w:left w:val="single" w:color="000000" w:sz="4" w:space="0"/>
              <w:bottom w:val="single" w:color="000000" w:sz="4" w:space="0"/>
              <w:right w:val="single" w:color="000000" w:sz="4" w:space="0"/>
            </w:tcBorders>
            <w:shd w:val="clear"/>
            <w:vAlign w:val="bottom"/>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74" w:type="dxa"/>
            <w:bottom w:w="17" w:type="dxa"/>
            <w:right w:w="74" w:type="dxa"/>
          </w:tblCellMar>
        </w:tblPrEx>
        <w:trPr>
          <w:gridAfter w:val="2"/>
          <w:wAfter w:w="29" w:type="dxa"/>
          <w:trHeight w:val="476" w:hRule="exact"/>
          <w:jc w:val="center"/>
        </w:trPr>
        <w:tc>
          <w:tcPr>
            <w:tcW w:w="4006" w:type="dxa"/>
            <w:gridSpan w:val="7"/>
            <w:tcBorders>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502-机关商品服务支出</w:t>
            </w:r>
          </w:p>
        </w:tc>
        <w:tc>
          <w:tcPr>
            <w:tcW w:w="2353" w:type="dxa"/>
            <w:gridSpan w:val="5"/>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2,237 </w:t>
            </w:r>
          </w:p>
        </w:tc>
        <w:tc>
          <w:tcPr>
            <w:tcW w:w="2712" w:type="dxa"/>
            <w:gridSpan w:val="4"/>
            <w:tcBorders>
              <w:top w:val="single" w:color="000000" w:sz="4" w:space="0"/>
              <w:left w:val="single" w:color="000000" w:sz="4" w:space="0"/>
              <w:bottom w:val="single" w:color="000000" w:sz="4" w:space="0"/>
              <w:right w:val="single" w:color="000000" w:sz="4" w:space="0"/>
            </w:tcBorders>
            <w:shd w:val="clear"/>
            <w:vAlign w:val="bottom"/>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74" w:type="dxa"/>
            <w:bottom w:w="17" w:type="dxa"/>
            <w:right w:w="74" w:type="dxa"/>
          </w:tblCellMar>
        </w:tblPrEx>
        <w:trPr>
          <w:gridAfter w:val="2"/>
          <w:wAfter w:w="29" w:type="dxa"/>
          <w:trHeight w:val="476" w:hRule="exact"/>
          <w:jc w:val="center"/>
        </w:trPr>
        <w:tc>
          <w:tcPr>
            <w:tcW w:w="4006"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50201-</w:t>
            </w:r>
            <w:r>
              <w:rPr>
                <w:rFonts w:hint="eastAsia" w:ascii="宋体" w:hAnsi="宋体" w:eastAsia="宋体" w:cs="宋体"/>
                <w:i w:val="0"/>
                <w:color w:val="000000"/>
                <w:kern w:val="0"/>
                <w:sz w:val="24"/>
                <w:szCs w:val="24"/>
                <w:u w:val="none"/>
                <w:lang w:val="en-US" w:eastAsia="zh-CN" w:bidi="ar"/>
              </w:rPr>
              <w:t>办公经费</w:t>
            </w:r>
          </w:p>
        </w:tc>
        <w:tc>
          <w:tcPr>
            <w:tcW w:w="2353" w:type="dxa"/>
            <w:gridSpan w:val="5"/>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2,039 </w:t>
            </w:r>
          </w:p>
        </w:tc>
        <w:tc>
          <w:tcPr>
            <w:tcW w:w="2712" w:type="dxa"/>
            <w:gridSpan w:val="4"/>
            <w:tcBorders>
              <w:top w:val="single" w:color="000000" w:sz="4" w:space="0"/>
              <w:left w:val="single" w:color="000000" w:sz="4" w:space="0"/>
              <w:bottom w:val="single" w:color="000000" w:sz="4" w:space="0"/>
              <w:right w:val="single" w:color="000000" w:sz="4" w:space="0"/>
            </w:tcBorders>
            <w:shd w:val="clear"/>
            <w:vAlign w:val="bottom"/>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74" w:type="dxa"/>
            <w:bottom w:w="17" w:type="dxa"/>
            <w:right w:w="74" w:type="dxa"/>
          </w:tblCellMar>
        </w:tblPrEx>
        <w:trPr>
          <w:gridAfter w:val="2"/>
          <w:wAfter w:w="29" w:type="dxa"/>
          <w:trHeight w:val="476" w:hRule="exact"/>
          <w:jc w:val="center"/>
        </w:trPr>
        <w:tc>
          <w:tcPr>
            <w:tcW w:w="4006"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50202-</w:t>
            </w:r>
            <w:r>
              <w:rPr>
                <w:rFonts w:hint="eastAsia" w:ascii="宋体" w:hAnsi="宋体" w:eastAsia="宋体" w:cs="宋体"/>
                <w:i w:val="0"/>
                <w:color w:val="000000"/>
                <w:kern w:val="0"/>
                <w:sz w:val="24"/>
                <w:szCs w:val="24"/>
                <w:u w:val="none"/>
                <w:lang w:val="en-US" w:eastAsia="zh-CN" w:bidi="ar"/>
              </w:rPr>
              <w:t>会议费</w:t>
            </w:r>
          </w:p>
        </w:tc>
        <w:tc>
          <w:tcPr>
            <w:tcW w:w="2353" w:type="dxa"/>
            <w:gridSpan w:val="5"/>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8 </w:t>
            </w:r>
          </w:p>
        </w:tc>
        <w:tc>
          <w:tcPr>
            <w:tcW w:w="2712" w:type="dxa"/>
            <w:gridSpan w:val="4"/>
            <w:tcBorders>
              <w:top w:val="single" w:color="000000" w:sz="4" w:space="0"/>
              <w:left w:val="single" w:color="000000" w:sz="4" w:space="0"/>
              <w:bottom w:val="single" w:color="000000" w:sz="4" w:space="0"/>
              <w:right w:val="single" w:color="000000" w:sz="4" w:space="0"/>
            </w:tcBorders>
            <w:shd w:val="clear"/>
            <w:vAlign w:val="bottom"/>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74" w:type="dxa"/>
            <w:bottom w:w="17" w:type="dxa"/>
            <w:right w:w="74" w:type="dxa"/>
          </w:tblCellMar>
        </w:tblPrEx>
        <w:trPr>
          <w:gridAfter w:val="2"/>
          <w:wAfter w:w="29" w:type="dxa"/>
          <w:trHeight w:val="476" w:hRule="exact"/>
          <w:jc w:val="center"/>
        </w:trPr>
        <w:tc>
          <w:tcPr>
            <w:tcW w:w="4006"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50203-</w:t>
            </w:r>
            <w:r>
              <w:rPr>
                <w:rFonts w:hint="eastAsia" w:ascii="宋体" w:hAnsi="宋体" w:eastAsia="宋体" w:cs="宋体"/>
                <w:i w:val="0"/>
                <w:color w:val="000000"/>
                <w:kern w:val="0"/>
                <w:sz w:val="24"/>
                <w:szCs w:val="24"/>
                <w:u w:val="none"/>
                <w:lang w:val="en-US" w:eastAsia="zh-CN" w:bidi="ar"/>
              </w:rPr>
              <w:t>培训费</w:t>
            </w:r>
          </w:p>
        </w:tc>
        <w:tc>
          <w:tcPr>
            <w:tcW w:w="2353" w:type="dxa"/>
            <w:gridSpan w:val="5"/>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6 </w:t>
            </w:r>
          </w:p>
        </w:tc>
        <w:tc>
          <w:tcPr>
            <w:tcW w:w="2712" w:type="dxa"/>
            <w:gridSpan w:val="4"/>
            <w:tcBorders>
              <w:top w:val="single" w:color="000000" w:sz="4" w:space="0"/>
              <w:left w:val="single" w:color="000000" w:sz="4" w:space="0"/>
              <w:bottom w:val="single" w:color="000000" w:sz="4" w:space="0"/>
              <w:right w:val="single" w:color="000000" w:sz="4" w:space="0"/>
            </w:tcBorders>
            <w:shd w:val="clear"/>
            <w:vAlign w:val="bottom"/>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74" w:type="dxa"/>
            <w:bottom w:w="17" w:type="dxa"/>
            <w:right w:w="74" w:type="dxa"/>
          </w:tblCellMar>
        </w:tblPrEx>
        <w:trPr>
          <w:gridAfter w:val="2"/>
          <w:wAfter w:w="29" w:type="dxa"/>
          <w:trHeight w:val="476" w:hRule="exact"/>
          <w:jc w:val="center"/>
        </w:trPr>
        <w:tc>
          <w:tcPr>
            <w:tcW w:w="4006"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50205-</w:t>
            </w:r>
            <w:r>
              <w:rPr>
                <w:rFonts w:hint="eastAsia" w:ascii="宋体" w:hAnsi="宋体" w:eastAsia="宋体" w:cs="宋体"/>
                <w:i w:val="0"/>
                <w:color w:val="000000"/>
                <w:kern w:val="0"/>
                <w:sz w:val="24"/>
                <w:szCs w:val="24"/>
                <w:u w:val="none"/>
                <w:lang w:val="en-US" w:eastAsia="zh-CN" w:bidi="ar"/>
              </w:rPr>
              <w:t>委托业务费</w:t>
            </w:r>
          </w:p>
        </w:tc>
        <w:tc>
          <w:tcPr>
            <w:tcW w:w="2353" w:type="dxa"/>
            <w:gridSpan w:val="5"/>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16 </w:t>
            </w:r>
          </w:p>
        </w:tc>
        <w:tc>
          <w:tcPr>
            <w:tcW w:w="2712" w:type="dxa"/>
            <w:gridSpan w:val="4"/>
            <w:tcBorders>
              <w:top w:val="single" w:color="000000" w:sz="4" w:space="0"/>
              <w:left w:val="single" w:color="000000" w:sz="4" w:space="0"/>
              <w:bottom w:val="single" w:color="000000" w:sz="4" w:space="0"/>
              <w:right w:val="single" w:color="000000" w:sz="4" w:space="0"/>
            </w:tcBorders>
            <w:shd w:val="clear"/>
            <w:vAlign w:val="bottom"/>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74" w:type="dxa"/>
            <w:bottom w:w="17" w:type="dxa"/>
            <w:right w:w="74" w:type="dxa"/>
          </w:tblCellMar>
        </w:tblPrEx>
        <w:trPr>
          <w:gridAfter w:val="2"/>
          <w:wAfter w:w="29" w:type="dxa"/>
          <w:trHeight w:val="476" w:hRule="exact"/>
          <w:jc w:val="center"/>
        </w:trPr>
        <w:tc>
          <w:tcPr>
            <w:tcW w:w="4006"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50206-</w:t>
            </w:r>
            <w:r>
              <w:rPr>
                <w:rFonts w:hint="eastAsia" w:ascii="宋体" w:hAnsi="宋体" w:eastAsia="宋体" w:cs="宋体"/>
                <w:i w:val="0"/>
                <w:color w:val="000000"/>
                <w:kern w:val="0"/>
                <w:sz w:val="24"/>
                <w:szCs w:val="24"/>
                <w:u w:val="none"/>
                <w:lang w:val="en-US" w:eastAsia="zh-CN" w:bidi="ar"/>
              </w:rPr>
              <w:t>公务接待费</w:t>
            </w:r>
          </w:p>
        </w:tc>
        <w:tc>
          <w:tcPr>
            <w:tcW w:w="2353" w:type="dxa"/>
            <w:gridSpan w:val="5"/>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4 </w:t>
            </w:r>
          </w:p>
        </w:tc>
        <w:tc>
          <w:tcPr>
            <w:tcW w:w="2712" w:type="dxa"/>
            <w:gridSpan w:val="4"/>
            <w:tcBorders>
              <w:top w:val="single" w:color="000000" w:sz="4" w:space="0"/>
              <w:left w:val="single" w:color="000000" w:sz="4" w:space="0"/>
              <w:bottom w:val="single" w:color="000000" w:sz="4" w:space="0"/>
              <w:right w:val="single" w:color="000000" w:sz="4" w:space="0"/>
            </w:tcBorders>
            <w:shd w:val="clear"/>
            <w:vAlign w:val="bottom"/>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74" w:type="dxa"/>
            <w:bottom w:w="17" w:type="dxa"/>
            <w:right w:w="74" w:type="dxa"/>
          </w:tblCellMar>
        </w:tblPrEx>
        <w:trPr>
          <w:gridAfter w:val="2"/>
          <w:wAfter w:w="29" w:type="dxa"/>
          <w:trHeight w:val="476" w:hRule="exact"/>
          <w:jc w:val="center"/>
        </w:trPr>
        <w:tc>
          <w:tcPr>
            <w:tcW w:w="4006"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50208-</w:t>
            </w:r>
            <w:r>
              <w:rPr>
                <w:rFonts w:hint="eastAsia" w:ascii="宋体" w:hAnsi="宋体" w:eastAsia="宋体" w:cs="宋体"/>
                <w:i w:val="0"/>
                <w:color w:val="000000"/>
                <w:kern w:val="0"/>
                <w:sz w:val="24"/>
                <w:szCs w:val="24"/>
                <w:u w:val="none"/>
                <w:lang w:val="en-US" w:eastAsia="zh-CN" w:bidi="ar"/>
              </w:rPr>
              <w:t>公务用车运行维护费</w:t>
            </w:r>
          </w:p>
        </w:tc>
        <w:tc>
          <w:tcPr>
            <w:tcW w:w="2353" w:type="dxa"/>
            <w:gridSpan w:val="5"/>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82 </w:t>
            </w:r>
          </w:p>
        </w:tc>
        <w:tc>
          <w:tcPr>
            <w:tcW w:w="2712" w:type="dxa"/>
            <w:gridSpan w:val="4"/>
            <w:tcBorders>
              <w:top w:val="single" w:color="000000" w:sz="4" w:space="0"/>
              <w:left w:val="single" w:color="000000" w:sz="4" w:space="0"/>
              <w:bottom w:val="single" w:color="000000" w:sz="4" w:space="0"/>
              <w:right w:val="single" w:color="000000" w:sz="4" w:space="0"/>
            </w:tcBorders>
            <w:shd w:val="clear"/>
            <w:vAlign w:val="bottom"/>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74" w:type="dxa"/>
            <w:bottom w:w="17" w:type="dxa"/>
            <w:right w:w="74" w:type="dxa"/>
          </w:tblCellMar>
        </w:tblPrEx>
        <w:trPr>
          <w:gridAfter w:val="2"/>
          <w:wAfter w:w="29" w:type="dxa"/>
          <w:trHeight w:val="476" w:hRule="exact"/>
          <w:jc w:val="center"/>
        </w:trPr>
        <w:tc>
          <w:tcPr>
            <w:tcW w:w="4006"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50209-</w:t>
            </w:r>
            <w:r>
              <w:rPr>
                <w:rFonts w:hint="eastAsia" w:ascii="宋体" w:hAnsi="宋体" w:eastAsia="宋体" w:cs="宋体"/>
                <w:i w:val="0"/>
                <w:color w:val="000000"/>
                <w:kern w:val="0"/>
                <w:sz w:val="24"/>
                <w:szCs w:val="24"/>
                <w:u w:val="none"/>
                <w:lang w:val="en-US" w:eastAsia="zh-CN" w:bidi="ar"/>
              </w:rPr>
              <w:t>维修（护）费</w:t>
            </w:r>
          </w:p>
        </w:tc>
        <w:tc>
          <w:tcPr>
            <w:tcW w:w="2353" w:type="dxa"/>
            <w:gridSpan w:val="5"/>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19 </w:t>
            </w:r>
          </w:p>
        </w:tc>
        <w:tc>
          <w:tcPr>
            <w:tcW w:w="2712" w:type="dxa"/>
            <w:gridSpan w:val="4"/>
            <w:tcBorders>
              <w:top w:val="single" w:color="000000" w:sz="4" w:space="0"/>
              <w:left w:val="single" w:color="000000" w:sz="4" w:space="0"/>
              <w:bottom w:val="single" w:color="000000" w:sz="4" w:space="0"/>
              <w:right w:val="single" w:color="000000" w:sz="4" w:space="0"/>
            </w:tcBorders>
            <w:shd w:val="clear"/>
            <w:vAlign w:val="bottom"/>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74" w:type="dxa"/>
            <w:bottom w:w="17" w:type="dxa"/>
            <w:right w:w="74" w:type="dxa"/>
          </w:tblCellMar>
        </w:tblPrEx>
        <w:trPr>
          <w:gridAfter w:val="2"/>
          <w:wAfter w:w="29" w:type="dxa"/>
          <w:trHeight w:val="476" w:hRule="exact"/>
          <w:jc w:val="center"/>
        </w:trPr>
        <w:tc>
          <w:tcPr>
            <w:tcW w:w="4006"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50299-</w:t>
            </w:r>
            <w:r>
              <w:rPr>
                <w:rFonts w:hint="eastAsia" w:ascii="宋体" w:hAnsi="宋体" w:eastAsia="宋体" w:cs="宋体"/>
                <w:i w:val="0"/>
                <w:color w:val="000000"/>
                <w:kern w:val="0"/>
                <w:sz w:val="24"/>
                <w:szCs w:val="24"/>
                <w:u w:val="none"/>
                <w:lang w:val="en-US" w:eastAsia="zh-CN" w:bidi="ar"/>
              </w:rPr>
              <w:t>其他商品和服务支出</w:t>
            </w:r>
          </w:p>
        </w:tc>
        <w:tc>
          <w:tcPr>
            <w:tcW w:w="2353" w:type="dxa"/>
            <w:gridSpan w:val="5"/>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63 </w:t>
            </w:r>
          </w:p>
        </w:tc>
        <w:tc>
          <w:tcPr>
            <w:tcW w:w="2712" w:type="dxa"/>
            <w:gridSpan w:val="4"/>
            <w:tcBorders>
              <w:top w:val="single" w:color="000000" w:sz="4" w:space="0"/>
              <w:left w:val="single" w:color="000000" w:sz="4" w:space="0"/>
              <w:bottom w:val="single" w:color="000000" w:sz="4" w:space="0"/>
              <w:right w:val="single" w:color="000000" w:sz="4" w:space="0"/>
            </w:tcBorders>
            <w:shd w:val="clear"/>
            <w:vAlign w:val="bottom"/>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74" w:type="dxa"/>
            <w:bottom w:w="17" w:type="dxa"/>
            <w:right w:w="74" w:type="dxa"/>
          </w:tblCellMar>
        </w:tblPrEx>
        <w:trPr>
          <w:gridAfter w:val="2"/>
          <w:wAfter w:w="29" w:type="dxa"/>
          <w:trHeight w:val="476" w:hRule="exact"/>
          <w:jc w:val="center"/>
        </w:trPr>
        <w:tc>
          <w:tcPr>
            <w:tcW w:w="4006"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505-对事业单位经常性补助</w:t>
            </w:r>
          </w:p>
        </w:tc>
        <w:tc>
          <w:tcPr>
            <w:tcW w:w="2353" w:type="dxa"/>
            <w:gridSpan w:val="5"/>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6,622 </w:t>
            </w:r>
          </w:p>
        </w:tc>
        <w:tc>
          <w:tcPr>
            <w:tcW w:w="2712" w:type="dxa"/>
            <w:gridSpan w:val="4"/>
            <w:tcBorders>
              <w:top w:val="single" w:color="000000" w:sz="4" w:space="0"/>
              <w:left w:val="single" w:color="000000" w:sz="4" w:space="0"/>
              <w:bottom w:val="single" w:color="000000" w:sz="4" w:space="0"/>
              <w:right w:val="single" w:color="000000" w:sz="4" w:space="0"/>
            </w:tcBorders>
            <w:shd w:val="clear"/>
            <w:vAlign w:val="bottom"/>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74" w:type="dxa"/>
            <w:bottom w:w="17" w:type="dxa"/>
            <w:right w:w="74" w:type="dxa"/>
          </w:tblCellMar>
        </w:tblPrEx>
        <w:trPr>
          <w:gridAfter w:val="2"/>
          <w:wAfter w:w="29" w:type="dxa"/>
          <w:trHeight w:val="476" w:hRule="exact"/>
          <w:jc w:val="center"/>
        </w:trPr>
        <w:tc>
          <w:tcPr>
            <w:tcW w:w="4006"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50501-</w:t>
            </w:r>
            <w:r>
              <w:rPr>
                <w:rFonts w:hint="eastAsia" w:ascii="宋体" w:hAnsi="宋体" w:eastAsia="宋体" w:cs="宋体"/>
                <w:i w:val="0"/>
                <w:color w:val="000000"/>
                <w:kern w:val="0"/>
                <w:sz w:val="24"/>
                <w:szCs w:val="24"/>
                <w:u w:val="none"/>
                <w:lang w:val="en-US" w:eastAsia="zh-CN" w:bidi="ar"/>
              </w:rPr>
              <w:t>工资福利支出</w:t>
            </w:r>
          </w:p>
        </w:tc>
        <w:tc>
          <w:tcPr>
            <w:tcW w:w="2353" w:type="dxa"/>
            <w:gridSpan w:val="5"/>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6,303 </w:t>
            </w:r>
          </w:p>
        </w:tc>
        <w:tc>
          <w:tcPr>
            <w:tcW w:w="2712" w:type="dxa"/>
            <w:gridSpan w:val="4"/>
            <w:tcBorders>
              <w:top w:val="single" w:color="000000" w:sz="4" w:space="0"/>
              <w:left w:val="single" w:color="000000" w:sz="4" w:space="0"/>
              <w:bottom w:val="single" w:color="000000" w:sz="4" w:space="0"/>
              <w:right w:val="single" w:color="000000" w:sz="4" w:space="0"/>
            </w:tcBorders>
            <w:shd w:val="clear"/>
            <w:vAlign w:val="bottom"/>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74" w:type="dxa"/>
            <w:bottom w:w="17" w:type="dxa"/>
            <w:right w:w="74" w:type="dxa"/>
          </w:tblCellMar>
        </w:tblPrEx>
        <w:trPr>
          <w:gridAfter w:val="2"/>
          <w:wAfter w:w="29" w:type="dxa"/>
          <w:trHeight w:val="476" w:hRule="exact"/>
          <w:jc w:val="center"/>
        </w:trPr>
        <w:tc>
          <w:tcPr>
            <w:tcW w:w="4006"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50502-</w:t>
            </w:r>
            <w:r>
              <w:rPr>
                <w:rFonts w:hint="eastAsia" w:ascii="宋体" w:hAnsi="宋体" w:eastAsia="宋体" w:cs="宋体"/>
                <w:i w:val="0"/>
                <w:color w:val="000000"/>
                <w:kern w:val="0"/>
                <w:sz w:val="24"/>
                <w:szCs w:val="24"/>
                <w:u w:val="none"/>
                <w:lang w:val="en-US" w:eastAsia="zh-CN" w:bidi="ar"/>
              </w:rPr>
              <w:t>商品和服务支出</w:t>
            </w:r>
          </w:p>
        </w:tc>
        <w:tc>
          <w:tcPr>
            <w:tcW w:w="2353" w:type="dxa"/>
            <w:gridSpan w:val="5"/>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319 </w:t>
            </w:r>
          </w:p>
        </w:tc>
        <w:tc>
          <w:tcPr>
            <w:tcW w:w="2712" w:type="dxa"/>
            <w:gridSpan w:val="4"/>
            <w:tcBorders>
              <w:top w:val="single" w:color="000000" w:sz="4" w:space="0"/>
              <w:left w:val="single" w:color="000000" w:sz="4" w:space="0"/>
              <w:bottom w:val="single" w:color="000000" w:sz="4" w:space="0"/>
              <w:right w:val="single" w:color="000000" w:sz="4" w:space="0"/>
            </w:tcBorders>
            <w:shd w:val="clear"/>
            <w:vAlign w:val="bottom"/>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74" w:type="dxa"/>
            <w:bottom w:w="17" w:type="dxa"/>
            <w:right w:w="74" w:type="dxa"/>
          </w:tblCellMar>
        </w:tblPrEx>
        <w:trPr>
          <w:gridAfter w:val="2"/>
          <w:wAfter w:w="29" w:type="dxa"/>
          <w:trHeight w:val="476" w:hRule="exact"/>
          <w:jc w:val="center"/>
        </w:trPr>
        <w:tc>
          <w:tcPr>
            <w:tcW w:w="4006"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509-对个人和家庭补助</w:t>
            </w:r>
          </w:p>
        </w:tc>
        <w:tc>
          <w:tcPr>
            <w:tcW w:w="2353" w:type="dxa"/>
            <w:gridSpan w:val="5"/>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3,928 </w:t>
            </w:r>
          </w:p>
        </w:tc>
        <w:tc>
          <w:tcPr>
            <w:tcW w:w="2712" w:type="dxa"/>
            <w:gridSpan w:val="4"/>
            <w:tcBorders>
              <w:top w:val="single" w:color="000000" w:sz="4" w:space="0"/>
              <w:left w:val="single" w:color="000000" w:sz="4" w:space="0"/>
              <w:bottom w:val="single" w:color="000000" w:sz="4" w:space="0"/>
              <w:right w:val="single" w:color="000000" w:sz="4" w:space="0"/>
            </w:tcBorders>
            <w:shd w:val="clear"/>
            <w:vAlign w:val="bottom"/>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74" w:type="dxa"/>
            <w:bottom w:w="17" w:type="dxa"/>
            <w:right w:w="74" w:type="dxa"/>
          </w:tblCellMar>
        </w:tblPrEx>
        <w:trPr>
          <w:gridAfter w:val="2"/>
          <w:wAfter w:w="29" w:type="dxa"/>
          <w:trHeight w:val="476" w:hRule="exact"/>
          <w:jc w:val="center"/>
        </w:trPr>
        <w:tc>
          <w:tcPr>
            <w:tcW w:w="4006"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50901-</w:t>
            </w:r>
            <w:r>
              <w:rPr>
                <w:rFonts w:hint="eastAsia" w:ascii="宋体" w:hAnsi="宋体" w:eastAsia="宋体" w:cs="宋体"/>
                <w:i w:val="0"/>
                <w:color w:val="000000"/>
                <w:kern w:val="0"/>
                <w:sz w:val="24"/>
                <w:szCs w:val="24"/>
                <w:u w:val="none"/>
                <w:lang w:val="en-US" w:eastAsia="zh-CN" w:bidi="ar"/>
              </w:rPr>
              <w:t>社会福利和救助</w:t>
            </w:r>
          </w:p>
        </w:tc>
        <w:tc>
          <w:tcPr>
            <w:tcW w:w="2353" w:type="dxa"/>
            <w:gridSpan w:val="5"/>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3,432 </w:t>
            </w:r>
          </w:p>
        </w:tc>
        <w:tc>
          <w:tcPr>
            <w:tcW w:w="2712" w:type="dxa"/>
            <w:gridSpan w:val="4"/>
            <w:tcBorders>
              <w:top w:val="single" w:color="000000" w:sz="4" w:space="0"/>
              <w:left w:val="single" w:color="000000" w:sz="4" w:space="0"/>
              <w:bottom w:val="single" w:color="000000" w:sz="4" w:space="0"/>
              <w:right w:val="single" w:color="000000" w:sz="4" w:space="0"/>
            </w:tcBorders>
            <w:shd w:val="clear"/>
            <w:vAlign w:val="bottom"/>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74" w:type="dxa"/>
            <w:bottom w:w="17" w:type="dxa"/>
            <w:right w:w="74" w:type="dxa"/>
          </w:tblCellMar>
        </w:tblPrEx>
        <w:trPr>
          <w:gridAfter w:val="2"/>
          <w:wAfter w:w="29" w:type="dxa"/>
          <w:trHeight w:val="476" w:hRule="exact"/>
          <w:jc w:val="center"/>
        </w:trPr>
        <w:tc>
          <w:tcPr>
            <w:tcW w:w="4006"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50905-</w:t>
            </w:r>
            <w:r>
              <w:rPr>
                <w:rFonts w:hint="eastAsia" w:ascii="宋体" w:hAnsi="宋体" w:eastAsia="宋体" w:cs="宋体"/>
                <w:i w:val="0"/>
                <w:color w:val="000000"/>
                <w:kern w:val="0"/>
                <w:sz w:val="24"/>
                <w:szCs w:val="24"/>
                <w:u w:val="none"/>
                <w:lang w:val="en-US" w:eastAsia="zh-CN" w:bidi="ar"/>
              </w:rPr>
              <w:t>离退休费</w:t>
            </w:r>
          </w:p>
        </w:tc>
        <w:tc>
          <w:tcPr>
            <w:tcW w:w="2353" w:type="dxa"/>
            <w:gridSpan w:val="5"/>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496 </w:t>
            </w:r>
          </w:p>
        </w:tc>
        <w:tc>
          <w:tcPr>
            <w:tcW w:w="2712" w:type="dxa"/>
            <w:gridSpan w:val="4"/>
            <w:tcBorders>
              <w:top w:val="single" w:color="000000" w:sz="4" w:space="0"/>
              <w:left w:val="single" w:color="000000" w:sz="4" w:space="0"/>
              <w:bottom w:val="single" w:color="000000" w:sz="4" w:space="0"/>
              <w:right w:val="single" w:color="000000" w:sz="4" w:space="0"/>
            </w:tcBorders>
            <w:shd w:val="clear"/>
            <w:vAlign w:val="bottom"/>
          </w:tcPr>
          <w:p>
            <w:pPr>
              <w:rPr>
                <w:rFonts w:hint="default" w:ascii="Times New Roman" w:hAnsi="Times New Roman" w:eastAsia="宋体" w:cs="Times New Roman"/>
                <w:i w:val="0"/>
                <w:color w:val="000000"/>
                <w:sz w:val="24"/>
                <w:szCs w:val="24"/>
                <w:u w:val="none"/>
              </w:rPr>
            </w:pPr>
          </w:p>
        </w:tc>
      </w:tr>
    </w:tbl>
    <w:p>
      <w:pPr>
        <w:pStyle w:val="2"/>
        <w:keepNext w:val="0"/>
        <w:keepLines w:val="0"/>
        <w:pageBreakBefore w:val="0"/>
        <w:widowControl w:val="0"/>
        <w:kinsoku/>
        <w:wordWrap/>
        <w:overflowPunct/>
        <w:topLinePunct w:val="0"/>
        <w:autoSpaceDE/>
        <w:autoSpaceDN/>
        <w:bidi w:val="0"/>
        <w:adjustRightInd/>
        <w:snapToGrid w:val="0"/>
        <w:spacing w:line="200" w:lineRule="exact"/>
        <w:textAlignment w:val="auto"/>
        <w:outlineLvl w:val="9"/>
      </w:pPr>
    </w:p>
    <w:sectPr>
      <w:pgSz w:w="11906" w:h="16838"/>
      <w:pgMar w:top="2041" w:right="1531" w:bottom="1928" w:left="1531" w:header="851" w:footer="1417" w:gutter="0"/>
      <w:paperSrc/>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spacing w:line="280" w:lineRule="exact"/>
      <w:textAlignment w:val="auto"/>
      <w:outlineLvl w:val="9"/>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21590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keepNext w:val="0"/>
                            <w:keepLines w:val="0"/>
                            <w:pageBreakBefore w:val="0"/>
                            <w:widowControl w:val="0"/>
                            <w:kinsoku/>
                            <w:wordWrap/>
                            <w:overflowPunct/>
                            <w:topLinePunct w:val="0"/>
                            <w:autoSpaceDE/>
                            <w:autoSpaceDN/>
                            <w:bidi w:val="0"/>
                            <w:adjustRightInd/>
                            <w:snapToGrid w:val="0"/>
                            <w:spacing w:line="280" w:lineRule="exact"/>
                            <w:textAlignment w:val="auto"/>
                            <w:outlineLvl w:val="9"/>
                            <w:rPr>
                              <w:rFonts w:hint="eastAsia" w:eastAsia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- 12 -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wrap="none" lIns="0" tIns="0" rIns="0" bIns="0" upright="1">
                      <a:spAutoFit/>
                    </wps:bodyPr>
                  </wps:wsp>
                </a:graphicData>
              </a:graphic>
            </wp:anchor>
          </w:drawing>
        </mc:Choice>
        <mc:Fallback>
          <w:pict>
            <v:shape id="文本框 1025" o:spid="_x0000_s1026" o:spt="202" type="#_x0000_t202" style="position:absolute;left:0pt;margin-top:1.7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80" w:lineRule="exact"/>
                      <w:textAlignment w:val="auto"/>
                      <w:outlineLvl w:val="9"/>
                      <w:rPr>
                        <w:rFonts w:hint="eastAsia" w:eastAsia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- 12 -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201"/>
    <w:rsid w:val="00002563"/>
    <w:rsid w:val="00003A03"/>
    <w:rsid w:val="00004CAD"/>
    <w:rsid w:val="000206C5"/>
    <w:rsid w:val="00021CB7"/>
    <w:rsid w:val="00031B6A"/>
    <w:rsid w:val="000338E8"/>
    <w:rsid w:val="000338FF"/>
    <w:rsid w:val="0003395A"/>
    <w:rsid w:val="00052E17"/>
    <w:rsid w:val="00064C35"/>
    <w:rsid w:val="00082360"/>
    <w:rsid w:val="000A620B"/>
    <w:rsid w:val="000B20C9"/>
    <w:rsid w:val="000D3489"/>
    <w:rsid w:val="000D497A"/>
    <w:rsid w:val="00112E2C"/>
    <w:rsid w:val="001145BC"/>
    <w:rsid w:val="00135AA1"/>
    <w:rsid w:val="00150C9F"/>
    <w:rsid w:val="00181F33"/>
    <w:rsid w:val="001E35A2"/>
    <w:rsid w:val="001E5719"/>
    <w:rsid w:val="002107B2"/>
    <w:rsid w:val="0021391F"/>
    <w:rsid w:val="0022027C"/>
    <w:rsid w:val="00222B2C"/>
    <w:rsid w:val="00237C42"/>
    <w:rsid w:val="00247C68"/>
    <w:rsid w:val="002551B7"/>
    <w:rsid w:val="00255FD5"/>
    <w:rsid w:val="00287DAA"/>
    <w:rsid w:val="002A006E"/>
    <w:rsid w:val="002A0AC8"/>
    <w:rsid w:val="002A55EE"/>
    <w:rsid w:val="002B0577"/>
    <w:rsid w:val="002B28FE"/>
    <w:rsid w:val="002B615D"/>
    <w:rsid w:val="002E50B3"/>
    <w:rsid w:val="003016C5"/>
    <w:rsid w:val="00307408"/>
    <w:rsid w:val="00314F53"/>
    <w:rsid w:val="00317257"/>
    <w:rsid w:val="003314BE"/>
    <w:rsid w:val="0034450D"/>
    <w:rsid w:val="00357F81"/>
    <w:rsid w:val="00362AEC"/>
    <w:rsid w:val="003832DF"/>
    <w:rsid w:val="003A0664"/>
    <w:rsid w:val="003C359A"/>
    <w:rsid w:val="003D13BE"/>
    <w:rsid w:val="003D2560"/>
    <w:rsid w:val="003F57E1"/>
    <w:rsid w:val="00410E00"/>
    <w:rsid w:val="00415669"/>
    <w:rsid w:val="00417988"/>
    <w:rsid w:val="0043423B"/>
    <w:rsid w:val="0043743A"/>
    <w:rsid w:val="00437BB2"/>
    <w:rsid w:val="004604E2"/>
    <w:rsid w:val="00465E33"/>
    <w:rsid w:val="004752FE"/>
    <w:rsid w:val="004B083C"/>
    <w:rsid w:val="004F0180"/>
    <w:rsid w:val="00522F89"/>
    <w:rsid w:val="0052345D"/>
    <w:rsid w:val="005446CE"/>
    <w:rsid w:val="005563A5"/>
    <w:rsid w:val="0056146C"/>
    <w:rsid w:val="00583F15"/>
    <w:rsid w:val="00587976"/>
    <w:rsid w:val="00597797"/>
    <w:rsid w:val="005A213F"/>
    <w:rsid w:val="005A2FBA"/>
    <w:rsid w:val="005C784A"/>
    <w:rsid w:val="005D42E8"/>
    <w:rsid w:val="005D6CD4"/>
    <w:rsid w:val="00631E66"/>
    <w:rsid w:val="00633975"/>
    <w:rsid w:val="00645C1F"/>
    <w:rsid w:val="0065456E"/>
    <w:rsid w:val="00660769"/>
    <w:rsid w:val="00686D48"/>
    <w:rsid w:val="006C58B6"/>
    <w:rsid w:val="006C78C0"/>
    <w:rsid w:val="00712BF8"/>
    <w:rsid w:val="00734B5F"/>
    <w:rsid w:val="0075512A"/>
    <w:rsid w:val="00764064"/>
    <w:rsid w:val="00771167"/>
    <w:rsid w:val="00795E3F"/>
    <w:rsid w:val="007A0224"/>
    <w:rsid w:val="007A6785"/>
    <w:rsid w:val="007B75D5"/>
    <w:rsid w:val="007D6AB7"/>
    <w:rsid w:val="007F299F"/>
    <w:rsid w:val="007F405F"/>
    <w:rsid w:val="00800377"/>
    <w:rsid w:val="0081223A"/>
    <w:rsid w:val="0081634E"/>
    <w:rsid w:val="008258AF"/>
    <w:rsid w:val="00862861"/>
    <w:rsid w:val="0086562C"/>
    <w:rsid w:val="00876288"/>
    <w:rsid w:val="008864B1"/>
    <w:rsid w:val="008D5D97"/>
    <w:rsid w:val="008D7ED8"/>
    <w:rsid w:val="008E54F4"/>
    <w:rsid w:val="009031B0"/>
    <w:rsid w:val="009426F0"/>
    <w:rsid w:val="00946EAB"/>
    <w:rsid w:val="00946EEC"/>
    <w:rsid w:val="00947B49"/>
    <w:rsid w:val="0095608D"/>
    <w:rsid w:val="00984FA7"/>
    <w:rsid w:val="009A4AFE"/>
    <w:rsid w:val="009C31A0"/>
    <w:rsid w:val="009D139E"/>
    <w:rsid w:val="009D4BDB"/>
    <w:rsid w:val="009E4B10"/>
    <w:rsid w:val="00A04B8C"/>
    <w:rsid w:val="00A06EEF"/>
    <w:rsid w:val="00A106B0"/>
    <w:rsid w:val="00A15390"/>
    <w:rsid w:val="00A221AB"/>
    <w:rsid w:val="00A27317"/>
    <w:rsid w:val="00A54214"/>
    <w:rsid w:val="00A64186"/>
    <w:rsid w:val="00A86DFA"/>
    <w:rsid w:val="00A97610"/>
    <w:rsid w:val="00AA4B7A"/>
    <w:rsid w:val="00AB058A"/>
    <w:rsid w:val="00AB1170"/>
    <w:rsid w:val="00AC7C86"/>
    <w:rsid w:val="00AE113B"/>
    <w:rsid w:val="00AE36B2"/>
    <w:rsid w:val="00AE6DAD"/>
    <w:rsid w:val="00AF0B1D"/>
    <w:rsid w:val="00B03EAE"/>
    <w:rsid w:val="00B23D55"/>
    <w:rsid w:val="00B30932"/>
    <w:rsid w:val="00B3738B"/>
    <w:rsid w:val="00B43919"/>
    <w:rsid w:val="00B51105"/>
    <w:rsid w:val="00B61722"/>
    <w:rsid w:val="00B67462"/>
    <w:rsid w:val="00B74448"/>
    <w:rsid w:val="00B872C3"/>
    <w:rsid w:val="00BE5B00"/>
    <w:rsid w:val="00C15A3D"/>
    <w:rsid w:val="00C3032F"/>
    <w:rsid w:val="00C3223F"/>
    <w:rsid w:val="00C42915"/>
    <w:rsid w:val="00C50F36"/>
    <w:rsid w:val="00C52327"/>
    <w:rsid w:val="00C551BF"/>
    <w:rsid w:val="00C666B0"/>
    <w:rsid w:val="00C77646"/>
    <w:rsid w:val="00C8192A"/>
    <w:rsid w:val="00C94992"/>
    <w:rsid w:val="00C978C7"/>
    <w:rsid w:val="00CC2E17"/>
    <w:rsid w:val="00CC327A"/>
    <w:rsid w:val="00CC3D27"/>
    <w:rsid w:val="00CC61B7"/>
    <w:rsid w:val="00CE0F06"/>
    <w:rsid w:val="00CF40E5"/>
    <w:rsid w:val="00D20864"/>
    <w:rsid w:val="00D21FCB"/>
    <w:rsid w:val="00D223E8"/>
    <w:rsid w:val="00D23F36"/>
    <w:rsid w:val="00D31B07"/>
    <w:rsid w:val="00D357AC"/>
    <w:rsid w:val="00D50CC9"/>
    <w:rsid w:val="00D712A2"/>
    <w:rsid w:val="00D735D6"/>
    <w:rsid w:val="00D80616"/>
    <w:rsid w:val="00D85FBB"/>
    <w:rsid w:val="00D8611B"/>
    <w:rsid w:val="00DA06A4"/>
    <w:rsid w:val="00DA45D3"/>
    <w:rsid w:val="00DD7E16"/>
    <w:rsid w:val="00E02CD7"/>
    <w:rsid w:val="00E06F5E"/>
    <w:rsid w:val="00E1290B"/>
    <w:rsid w:val="00E23705"/>
    <w:rsid w:val="00E3072F"/>
    <w:rsid w:val="00E30919"/>
    <w:rsid w:val="00E37EFD"/>
    <w:rsid w:val="00E56998"/>
    <w:rsid w:val="00E63F7C"/>
    <w:rsid w:val="00E761D7"/>
    <w:rsid w:val="00E905C9"/>
    <w:rsid w:val="00ED3C7E"/>
    <w:rsid w:val="00EE3840"/>
    <w:rsid w:val="00EF599A"/>
    <w:rsid w:val="00F2055A"/>
    <w:rsid w:val="00F215EC"/>
    <w:rsid w:val="00F34E45"/>
    <w:rsid w:val="00F469FE"/>
    <w:rsid w:val="00F5393E"/>
    <w:rsid w:val="00F62511"/>
    <w:rsid w:val="00F73BB0"/>
    <w:rsid w:val="00F85B7D"/>
    <w:rsid w:val="00F867D8"/>
    <w:rsid w:val="00FA0201"/>
    <w:rsid w:val="00FA3F69"/>
    <w:rsid w:val="00FC098E"/>
    <w:rsid w:val="00FC141F"/>
    <w:rsid w:val="00FD5C9E"/>
    <w:rsid w:val="00FE7C88"/>
    <w:rsid w:val="010B68CA"/>
    <w:rsid w:val="0292196B"/>
    <w:rsid w:val="03584B67"/>
    <w:rsid w:val="05D46C8B"/>
    <w:rsid w:val="07A27668"/>
    <w:rsid w:val="07D13AB4"/>
    <w:rsid w:val="091C3180"/>
    <w:rsid w:val="09305FD5"/>
    <w:rsid w:val="0B0C251E"/>
    <w:rsid w:val="0B6D53B8"/>
    <w:rsid w:val="0BFA315D"/>
    <w:rsid w:val="0C0C6484"/>
    <w:rsid w:val="0C0D2F11"/>
    <w:rsid w:val="0C744894"/>
    <w:rsid w:val="0D2F6ED2"/>
    <w:rsid w:val="0EDC77C9"/>
    <w:rsid w:val="10876EDE"/>
    <w:rsid w:val="11880630"/>
    <w:rsid w:val="138B391B"/>
    <w:rsid w:val="15D9130E"/>
    <w:rsid w:val="15ED0F4A"/>
    <w:rsid w:val="162321CC"/>
    <w:rsid w:val="17242957"/>
    <w:rsid w:val="18062D0A"/>
    <w:rsid w:val="18F44E7D"/>
    <w:rsid w:val="18F53672"/>
    <w:rsid w:val="197B7019"/>
    <w:rsid w:val="1A000FF6"/>
    <w:rsid w:val="1A617503"/>
    <w:rsid w:val="1A944EAD"/>
    <w:rsid w:val="1AB84162"/>
    <w:rsid w:val="1AC712F2"/>
    <w:rsid w:val="1CD1675C"/>
    <w:rsid w:val="1FC2295B"/>
    <w:rsid w:val="1FFA55C1"/>
    <w:rsid w:val="20BD2D48"/>
    <w:rsid w:val="21D06B64"/>
    <w:rsid w:val="21DB4686"/>
    <w:rsid w:val="22D361C7"/>
    <w:rsid w:val="23C31572"/>
    <w:rsid w:val="249F25F6"/>
    <w:rsid w:val="24AB1F6F"/>
    <w:rsid w:val="24B6396B"/>
    <w:rsid w:val="24E94E5F"/>
    <w:rsid w:val="257939D6"/>
    <w:rsid w:val="2603345B"/>
    <w:rsid w:val="26C515D9"/>
    <w:rsid w:val="275F0C0E"/>
    <w:rsid w:val="28A54EF2"/>
    <w:rsid w:val="28AA4D4F"/>
    <w:rsid w:val="28C45C41"/>
    <w:rsid w:val="28D06AD0"/>
    <w:rsid w:val="2B657CCC"/>
    <w:rsid w:val="2B9158AF"/>
    <w:rsid w:val="2C3763A5"/>
    <w:rsid w:val="2CB035D0"/>
    <w:rsid w:val="2D86593C"/>
    <w:rsid w:val="2F246EC6"/>
    <w:rsid w:val="2FF65BD6"/>
    <w:rsid w:val="31CD3CF0"/>
    <w:rsid w:val="32EA2317"/>
    <w:rsid w:val="33631B97"/>
    <w:rsid w:val="33C76E80"/>
    <w:rsid w:val="34E51172"/>
    <w:rsid w:val="3635556B"/>
    <w:rsid w:val="38297B14"/>
    <w:rsid w:val="386C278A"/>
    <w:rsid w:val="38A97D8C"/>
    <w:rsid w:val="39806DAA"/>
    <w:rsid w:val="3ACC12DF"/>
    <w:rsid w:val="3B57147E"/>
    <w:rsid w:val="3BC767BC"/>
    <w:rsid w:val="3DC66BB9"/>
    <w:rsid w:val="3EFA661A"/>
    <w:rsid w:val="3F0F32B5"/>
    <w:rsid w:val="3FF266A8"/>
    <w:rsid w:val="40ED4E4B"/>
    <w:rsid w:val="41BF69DE"/>
    <w:rsid w:val="41F47DE8"/>
    <w:rsid w:val="42A64BB6"/>
    <w:rsid w:val="433077B0"/>
    <w:rsid w:val="436C5182"/>
    <w:rsid w:val="43D9292A"/>
    <w:rsid w:val="448273F2"/>
    <w:rsid w:val="45133015"/>
    <w:rsid w:val="458D5831"/>
    <w:rsid w:val="45EF191C"/>
    <w:rsid w:val="46F904AB"/>
    <w:rsid w:val="470F00E5"/>
    <w:rsid w:val="485349E9"/>
    <w:rsid w:val="48873432"/>
    <w:rsid w:val="491F68D8"/>
    <w:rsid w:val="49806DC0"/>
    <w:rsid w:val="49D122C3"/>
    <w:rsid w:val="49FD1E44"/>
    <w:rsid w:val="4AFC317A"/>
    <w:rsid w:val="4B053064"/>
    <w:rsid w:val="4B68039A"/>
    <w:rsid w:val="4C7C1E43"/>
    <w:rsid w:val="4E775593"/>
    <w:rsid w:val="4E8F1618"/>
    <w:rsid w:val="4EB73E5A"/>
    <w:rsid w:val="4EE35292"/>
    <w:rsid w:val="50143D32"/>
    <w:rsid w:val="50EC0B17"/>
    <w:rsid w:val="516C2492"/>
    <w:rsid w:val="51704C15"/>
    <w:rsid w:val="51E87A9A"/>
    <w:rsid w:val="53971D32"/>
    <w:rsid w:val="53B4213D"/>
    <w:rsid w:val="54A57D63"/>
    <w:rsid w:val="55A76EE2"/>
    <w:rsid w:val="56863EEF"/>
    <w:rsid w:val="572E70AD"/>
    <w:rsid w:val="58875A72"/>
    <w:rsid w:val="59F1077D"/>
    <w:rsid w:val="5A5D1932"/>
    <w:rsid w:val="5A9424E5"/>
    <w:rsid w:val="5B750E73"/>
    <w:rsid w:val="5C3B330B"/>
    <w:rsid w:val="5D7A7DDF"/>
    <w:rsid w:val="5E3B6C10"/>
    <w:rsid w:val="5F560E6A"/>
    <w:rsid w:val="61BD52C7"/>
    <w:rsid w:val="621230FA"/>
    <w:rsid w:val="62A4286B"/>
    <w:rsid w:val="632506FE"/>
    <w:rsid w:val="65361A7B"/>
    <w:rsid w:val="65F536B8"/>
    <w:rsid w:val="678F7493"/>
    <w:rsid w:val="6AE75B21"/>
    <w:rsid w:val="6BFC3362"/>
    <w:rsid w:val="6C211EE9"/>
    <w:rsid w:val="6C4B1EC4"/>
    <w:rsid w:val="6D0A5D45"/>
    <w:rsid w:val="6DCB12E8"/>
    <w:rsid w:val="6FEC3923"/>
    <w:rsid w:val="6FF5122B"/>
    <w:rsid w:val="6FF84677"/>
    <w:rsid w:val="71DC3E87"/>
    <w:rsid w:val="720F7B85"/>
    <w:rsid w:val="72EF01FF"/>
    <w:rsid w:val="746E6EE2"/>
    <w:rsid w:val="74EB2FB3"/>
    <w:rsid w:val="75A51CF8"/>
    <w:rsid w:val="75EB4650"/>
    <w:rsid w:val="7661397C"/>
    <w:rsid w:val="767944F9"/>
    <w:rsid w:val="769A41AD"/>
    <w:rsid w:val="76BF4590"/>
    <w:rsid w:val="77904BDD"/>
    <w:rsid w:val="78937790"/>
    <w:rsid w:val="79A46F1F"/>
    <w:rsid w:val="7BFB6DC4"/>
    <w:rsid w:val="7D9119C2"/>
    <w:rsid w:val="7E496D45"/>
    <w:rsid w:val="7EAE04FF"/>
    <w:rsid w:val="7F1D2F60"/>
    <w:rsid w:val="7FBE549D"/>
    <w:rsid w:val="7FBF7F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9"/>
    <w:pPr>
      <w:outlineLvl w:val="2"/>
    </w:pPr>
    <w:rPr>
      <w:rFonts w:eastAsia="楷体"/>
      <w:b/>
      <w:bCs/>
      <w:szCs w:val="32"/>
    </w:rPr>
  </w:style>
  <w:style w:type="paragraph" w:styleId="4">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character" w:default="1" w:styleId="7">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next w:val="1"/>
    <w:link w:val="18"/>
    <w:qFormat/>
    <w:uiPriority w:val="0"/>
    <w:pPr>
      <w:tabs>
        <w:tab w:val="center" w:pos="4153"/>
        <w:tab w:val="right" w:pos="8306"/>
      </w:tabs>
      <w:snapToGrid w:val="0"/>
      <w:jc w:val="left"/>
    </w:pPr>
    <w:rPr>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bCs/>
    </w:rPr>
  </w:style>
  <w:style w:type="character" w:styleId="9">
    <w:name w:val="page number"/>
    <w:basedOn w:val="7"/>
    <w:qFormat/>
    <w:uiPriority w:val="0"/>
  </w:style>
  <w:style w:type="character" w:styleId="10">
    <w:name w:val="FollowedHyperlink"/>
    <w:basedOn w:val="7"/>
    <w:semiHidden/>
    <w:unhideWhenUsed/>
    <w:qFormat/>
    <w:uiPriority w:val="99"/>
    <w:rPr>
      <w:color w:val="3366CC"/>
      <w:u w:val="none"/>
    </w:rPr>
  </w:style>
  <w:style w:type="character" w:styleId="11">
    <w:name w:val="Emphasis"/>
    <w:basedOn w:val="7"/>
    <w:qFormat/>
    <w:uiPriority w:val="20"/>
  </w:style>
  <w:style w:type="character" w:styleId="12">
    <w:name w:val="Hyperlink"/>
    <w:basedOn w:val="7"/>
    <w:unhideWhenUsed/>
    <w:qFormat/>
    <w:uiPriority w:val="99"/>
    <w:rPr>
      <w:color w:val="3366CC"/>
      <w:u w:val="none"/>
    </w:rPr>
  </w:style>
  <w:style w:type="character" w:styleId="13">
    <w:name w:val="HTML Code"/>
    <w:basedOn w:val="7"/>
    <w:semiHidden/>
    <w:unhideWhenUsed/>
    <w:qFormat/>
    <w:uiPriority w:val="99"/>
    <w:rPr>
      <w:rFonts w:ascii="Courier New" w:hAnsi="Courier New"/>
      <w:sz w:val="20"/>
    </w:rPr>
  </w:style>
  <w:style w:type="character" w:styleId="14">
    <w:name w:val="HTML Cite"/>
    <w:basedOn w:val="7"/>
    <w:semiHidden/>
    <w:unhideWhenUsed/>
    <w:qFormat/>
    <w:uiPriority w:val="99"/>
  </w:style>
  <w:style w:type="paragraph" w:styleId="16">
    <w:name w:val="List Paragraph"/>
    <w:basedOn w:val="1"/>
    <w:qFormat/>
    <w:uiPriority w:val="34"/>
    <w:pPr>
      <w:ind w:firstLine="420" w:firstLineChars="200"/>
    </w:pPr>
  </w:style>
  <w:style w:type="character" w:customStyle="1" w:styleId="17">
    <w:name w:val="页眉 Char"/>
    <w:basedOn w:val="7"/>
    <w:link w:val="5"/>
    <w:qFormat/>
    <w:uiPriority w:val="0"/>
    <w:rPr>
      <w:rFonts w:ascii="Times New Roman" w:hAnsi="Times New Roman" w:eastAsia="宋体" w:cs="Times New Roman"/>
      <w:sz w:val="18"/>
      <w:szCs w:val="18"/>
    </w:rPr>
  </w:style>
  <w:style w:type="character" w:customStyle="1" w:styleId="18">
    <w:name w:val="页脚 Char"/>
    <w:basedOn w:val="7"/>
    <w:link w:val="2"/>
    <w:qFormat/>
    <w:uiPriority w:val="0"/>
    <w:rPr>
      <w:rFonts w:ascii="Times New Roman" w:hAnsi="Times New Roman" w:eastAsia="宋体" w:cs="Times New Roman"/>
      <w:sz w:val="18"/>
      <w:szCs w:val="18"/>
    </w:rPr>
  </w:style>
  <w:style w:type="paragraph" w:customStyle="1" w:styleId="19">
    <w:name w:val="p15"/>
    <w:basedOn w:val="1"/>
    <w:qFormat/>
    <w:uiPriority w:val="99"/>
    <w:rPr>
      <w:rFonts w:ascii="宋体" w:hAnsi="宋体" w:cs="宋体"/>
      <w:kern w:val="0"/>
      <w:szCs w:val="21"/>
    </w:rPr>
  </w:style>
  <w:style w:type="paragraph" w:customStyle="1" w:styleId="20">
    <w:name w:val="Char Char Char Char"/>
    <w:basedOn w:val="1"/>
    <w:qFormat/>
    <w:uiPriority w:val="0"/>
    <w:rPr>
      <w:rFonts w:ascii="仿宋_GB2312" w:eastAsia="仿宋_GB2312"/>
      <w:b/>
      <w:sz w:val="32"/>
      <w:szCs w:val="32"/>
    </w:rPr>
  </w:style>
  <w:style w:type="paragraph" w:customStyle="1" w:styleId="21">
    <w:name w:val="reader-word-layer reader-word-s3-3"/>
    <w:basedOn w:val="1"/>
    <w:qFormat/>
    <w:uiPriority w:val="99"/>
    <w:pPr>
      <w:widowControl/>
      <w:spacing w:before="100" w:beforeAutospacing="1" w:after="100" w:afterAutospacing="1"/>
      <w:jc w:val="left"/>
    </w:pPr>
    <w:rPr>
      <w:rFonts w:ascii="宋体" w:hAnsi="宋体" w:cs="宋体"/>
      <w:kern w:val="0"/>
      <w:sz w:val="24"/>
    </w:rPr>
  </w:style>
  <w:style w:type="paragraph" w:customStyle="1" w:styleId="22">
    <w:name w:val="Char"/>
    <w:basedOn w:val="1"/>
    <w:qFormat/>
    <w:uiPriority w:val="0"/>
    <w:pPr>
      <w:widowControl/>
      <w:spacing w:after="160" w:line="240" w:lineRule="exact"/>
      <w:jc w:val="left"/>
    </w:pPr>
    <w:rPr>
      <w:szCs w:val="20"/>
    </w:rPr>
  </w:style>
  <w:style w:type="paragraph" w:customStyle="1" w:styleId="23">
    <w:name w:val="Char Char Char Char1"/>
    <w:basedOn w:val="1"/>
    <w:qFormat/>
    <w:uiPriority w:val="0"/>
    <w:rPr>
      <w:rFonts w:ascii="仿宋_GB2312" w:eastAsia="仿宋_GB2312"/>
      <w:b/>
      <w:sz w:val="32"/>
      <w:szCs w:val="32"/>
    </w:rPr>
  </w:style>
  <w:style w:type="character" w:customStyle="1" w:styleId="24">
    <w:name w:val="font81"/>
    <w:basedOn w:val="7"/>
    <w:qFormat/>
    <w:uiPriority w:val="0"/>
    <w:rPr>
      <w:rFonts w:hint="eastAsia" w:ascii="宋体" w:hAnsi="宋体" w:eastAsia="宋体" w:cs="宋体"/>
      <w:color w:val="000000"/>
      <w:sz w:val="24"/>
      <w:szCs w:val="24"/>
      <w:u w:val="none"/>
    </w:rPr>
  </w:style>
  <w:style w:type="character" w:customStyle="1" w:styleId="25">
    <w:name w:val="font51"/>
    <w:basedOn w:val="7"/>
    <w:qFormat/>
    <w:uiPriority w:val="0"/>
    <w:rPr>
      <w:rFonts w:hint="default" w:ascii="Times New Roman" w:hAnsi="Times New Roman" w:cs="Times New Roman"/>
      <w:b/>
      <w:color w:val="000000"/>
      <w:sz w:val="36"/>
      <w:szCs w:val="36"/>
      <w:u w:val="none"/>
    </w:rPr>
  </w:style>
  <w:style w:type="character" w:customStyle="1" w:styleId="26">
    <w:name w:val="font91"/>
    <w:basedOn w:val="7"/>
    <w:qFormat/>
    <w:uiPriority w:val="0"/>
    <w:rPr>
      <w:rFonts w:hint="eastAsia" w:ascii="宋体" w:hAnsi="宋体" w:eastAsia="宋体" w:cs="宋体"/>
      <w:b/>
      <w:color w:val="000000"/>
      <w:sz w:val="36"/>
      <w:szCs w:val="36"/>
      <w:u w:val="none"/>
    </w:rPr>
  </w:style>
  <w:style w:type="character" w:customStyle="1" w:styleId="27">
    <w:name w:val="font31"/>
    <w:basedOn w:val="7"/>
    <w:qFormat/>
    <w:uiPriority w:val="0"/>
    <w:rPr>
      <w:rFonts w:hint="eastAsia" w:ascii="宋体" w:hAnsi="宋体" w:eastAsia="宋体" w:cs="宋体"/>
      <w:b/>
      <w:color w:val="000000"/>
      <w:sz w:val="24"/>
      <w:szCs w:val="24"/>
      <w:u w:val="none"/>
    </w:rPr>
  </w:style>
  <w:style w:type="character" w:customStyle="1" w:styleId="28">
    <w:name w:val="font61"/>
    <w:basedOn w:val="7"/>
    <w:qFormat/>
    <w:uiPriority w:val="0"/>
    <w:rPr>
      <w:rFonts w:hint="default" w:ascii="Times New Roman" w:hAnsi="Times New Roman" w:cs="Times New Roman"/>
      <w:b/>
      <w:color w:val="000000"/>
      <w:sz w:val="24"/>
      <w:szCs w:val="24"/>
      <w:u w:val="none"/>
    </w:rPr>
  </w:style>
  <w:style w:type="character" w:customStyle="1" w:styleId="29">
    <w:name w:val="font11"/>
    <w:basedOn w:val="7"/>
    <w:qFormat/>
    <w:uiPriority w:val="0"/>
    <w:rPr>
      <w:rFonts w:hint="default" w:ascii="Times New Roman" w:hAnsi="Times New Roman" w:cs="Times New Roman"/>
      <w:color w:val="000000"/>
      <w:sz w:val="24"/>
      <w:szCs w:val="24"/>
      <w:u w:val="none"/>
    </w:rPr>
  </w:style>
  <w:style w:type="character" w:customStyle="1" w:styleId="30">
    <w:name w:val="font71"/>
    <w:basedOn w:val="7"/>
    <w:qFormat/>
    <w:uiPriority w:val="0"/>
    <w:rPr>
      <w:rFonts w:hint="default" w:ascii="Times New Roman" w:hAnsi="Times New Roman" w:cs="Times New Roman"/>
      <w:color w:val="000000"/>
      <w:sz w:val="20"/>
      <w:szCs w:val="20"/>
      <w:u w:val="none"/>
    </w:rPr>
  </w:style>
  <w:style w:type="character" w:customStyle="1" w:styleId="31">
    <w:name w:val="font01"/>
    <w:basedOn w:val="7"/>
    <w:qFormat/>
    <w:uiPriority w:val="0"/>
    <w:rPr>
      <w:rFonts w:hint="eastAsia" w:ascii="宋体" w:hAnsi="宋体" w:eastAsia="宋体" w:cs="宋体"/>
      <w:color w:val="000000"/>
      <w:sz w:val="20"/>
      <w:szCs w:val="20"/>
      <w:u w:val="none"/>
    </w:rPr>
  </w:style>
  <w:style w:type="character" w:customStyle="1" w:styleId="32">
    <w:name w:val="font41"/>
    <w:basedOn w:val="7"/>
    <w:qFormat/>
    <w:uiPriority w:val="0"/>
    <w:rPr>
      <w:rFonts w:hint="default" w:ascii="Times New Roman" w:hAnsi="Times New Roman" w:cs="Times New Roman"/>
      <w:b/>
      <w:color w:val="000000"/>
      <w:sz w:val="36"/>
      <w:szCs w:val="36"/>
      <w:u w:val="none"/>
    </w:rPr>
  </w:style>
  <w:style w:type="character" w:customStyle="1" w:styleId="33">
    <w:name w:val="font21"/>
    <w:basedOn w:val="7"/>
    <w:qFormat/>
    <w:uiPriority w:val="0"/>
    <w:rPr>
      <w:rFonts w:hint="default" w:ascii="Times New Roman" w:hAnsi="Times New Roman" w:cs="Times New Roman"/>
      <w:b/>
      <w:color w:val="000000"/>
      <w:sz w:val="36"/>
      <w:szCs w:val="36"/>
      <w:u w:val="none"/>
    </w:rPr>
  </w:style>
  <w:style w:type="character" w:customStyle="1" w:styleId="34">
    <w:name w:val="font101"/>
    <w:basedOn w:val="7"/>
    <w:qFormat/>
    <w:uiPriority w:val="0"/>
    <w:rPr>
      <w:rFonts w:hint="eastAsia" w:ascii="宋体" w:hAnsi="宋体" w:eastAsia="宋体" w:cs="宋体"/>
      <w:color w:val="000000"/>
      <w:sz w:val="20"/>
      <w:szCs w:val="20"/>
      <w:u w:val="none"/>
    </w:rPr>
  </w:style>
  <w:style w:type="character" w:customStyle="1" w:styleId="35">
    <w:name w:val="font121"/>
    <w:basedOn w:val="7"/>
    <w:qFormat/>
    <w:uiPriority w:val="0"/>
    <w:rPr>
      <w:rFonts w:hint="default" w:ascii="Times New Roman" w:hAnsi="Times New Roman" w:cs="Times New Roman"/>
      <w:b/>
      <w:color w:val="000000"/>
      <w:sz w:val="22"/>
      <w:szCs w:val="22"/>
      <w:u w:val="none"/>
    </w:rPr>
  </w:style>
  <w:style w:type="paragraph" w:customStyle="1" w:styleId="36">
    <w:name w:val=" Char Char Char Char"/>
    <w:basedOn w:val="1"/>
    <w:qFormat/>
    <w:uiPriority w:val="0"/>
    <w:rPr>
      <w:rFonts w:ascii="仿宋_GB2312" w:eastAsia="仿宋_GB2312"/>
      <w:b/>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联想（北京）有限公司</Company>
  <Pages>19</Pages>
  <Words>7612</Words>
  <Characters>8902</Characters>
  <Lines>47</Lines>
  <Paragraphs>13</Paragraphs>
  <TotalTime>185</TotalTime>
  <ScaleCrop>false</ScaleCrop>
  <LinksUpToDate>false</LinksUpToDate>
  <CharactersWithSpaces>9353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2017-12-29T08:12:00Z</dcterms:created>
  <dc:creator>lenovo</dc:creator>
  <cp:lastModifiedBy>百货公司印刷 7022037 </cp:lastModifiedBy>
  <cp:lastPrinted>2018-12-14T02:33:00Z</cp:lastPrinted>
  <dcterms:modified xsi:type="dcterms:W3CDTF">2019-01-16T07:44:29Z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