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pacing w:line="560" w:lineRule="exact"/>
        <w:ind w:right="0" w:rightChars="0" w:firstLine="440" w:firstLineChars="100"/>
        <w:jc w:val="both"/>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宁夏财政监督检查“十不准”工作纪律</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一、不准在监督检查过程中发表与中央的路线方针政策和决定以及中央和自治区的决策部署相违背的言论；</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二、不准隐瞒、包庇被监督人的违法、违规问题，或者利用监督职权刁难、打击、报复被监督人；</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三、不准由被监督人及其关系人支付或者补贴住宿费、交通费、电话费等费用；</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四、不准接受被监督人及其关系人的礼金、礼品、消费卡、纪念品、有价证券和支付凭证等；</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五、不准参加被监督人及其关系人安排的宴请、旅游、娱乐等活动；</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六、不准向被监督人提出与监督检查工作无关的要求；</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七、不准在非工作场合接待被监督人及其关系人的工作人员；</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八、不准利用监督职权或者在监督检查过程中获悉的商业秘密、内部消息等为自己或他人谋利；</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九、不准在财政部门或者检查组作出结论之前私自向被监督人通报相关情况或者泄露工作秘密；</w:t>
      </w:r>
    </w:p>
    <w:p>
      <w:pPr>
        <w:keepNext w:val="0"/>
        <w:keepLines w:val="0"/>
        <w:pageBreakBefore w:val="0"/>
        <w:widowControl/>
        <w:kinsoku/>
        <w:wordWrap/>
        <w:overflowPunct/>
        <w:topLinePunct w:val="0"/>
        <w:autoSpaceDE/>
        <w:autoSpaceDN w:val="0"/>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十、不准违反法定程序实施行政处理、处罚，或者擅自改变行政处理、处罚的种类、幅度。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A5D6B"/>
    <w:rsid w:val="3A5F4176"/>
    <w:rsid w:val="69DA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秦玲</dc:creator>
  <cp:lastModifiedBy>秦玲</cp:lastModifiedBy>
  <cp:lastPrinted>2024-03-27T01:49:20Z</cp:lastPrinted>
  <dcterms:modified xsi:type="dcterms:W3CDTF">2024-03-27T02:05:11Z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