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常乐镇“两轻一免”清单</w:t>
      </w:r>
    </w:p>
    <w:tbl>
      <w:tblPr>
        <w:tblStyle w:val="9"/>
        <w:tblW w:w="12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324"/>
        <w:gridCol w:w="2091"/>
        <w:gridCol w:w="3585"/>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处罚情形</w:t>
            </w:r>
          </w:p>
        </w:tc>
        <w:tc>
          <w:tcPr>
            <w:tcW w:w="3324"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违法行为种类</w:t>
            </w:r>
          </w:p>
        </w:tc>
        <w:tc>
          <w:tcPr>
            <w:tcW w:w="2091"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适用条件</w:t>
            </w:r>
          </w:p>
        </w:tc>
        <w:tc>
          <w:tcPr>
            <w:tcW w:w="3585"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法律、法规和规章依据</w:t>
            </w:r>
          </w:p>
        </w:tc>
        <w:tc>
          <w:tcPr>
            <w:tcW w:w="1589"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2362"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从轻处罚</w:t>
            </w:r>
          </w:p>
        </w:tc>
        <w:tc>
          <w:tcPr>
            <w:tcW w:w="3324"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无</w:t>
            </w:r>
          </w:p>
        </w:tc>
        <w:tc>
          <w:tcPr>
            <w:tcW w:w="2091"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p>
        </w:tc>
        <w:tc>
          <w:tcPr>
            <w:tcW w:w="3585"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p>
        </w:tc>
        <w:tc>
          <w:tcPr>
            <w:tcW w:w="1589"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2362"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减轻处罚</w:t>
            </w:r>
          </w:p>
        </w:tc>
        <w:tc>
          <w:tcPr>
            <w:tcW w:w="3324"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无</w:t>
            </w:r>
          </w:p>
        </w:tc>
        <w:tc>
          <w:tcPr>
            <w:tcW w:w="2091"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p>
        </w:tc>
        <w:tc>
          <w:tcPr>
            <w:tcW w:w="3585"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p>
        </w:tc>
        <w:tc>
          <w:tcPr>
            <w:tcW w:w="1589"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362"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不予处罚</w:t>
            </w:r>
          </w:p>
        </w:tc>
        <w:tc>
          <w:tcPr>
            <w:tcW w:w="3324"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在禁牧区域内放养牛、羊等草食动物。</w:t>
            </w:r>
          </w:p>
        </w:tc>
        <w:tc>
          <w:tcPr>
            <w:tcW w:w="2091"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rPr>
                <w:rFonts w:hint="default" w:eastAsia="仿宋_GB2312" w:cs="Times New Roman"/>
                <w:sz w:val="32"/>
                <w:szCs w:val="32"/>
                <w:vertAlign w:val="baseline"/>
                <w:lang w:val="en-US" w:eastAsia="zh-CN"/>
              </w:rPr>
            </w:pPr>
            <w:r>
              <w:rPr>
                <w:rFonts w:ascii="仿宋_GB2312" w:hAnsi="仿宋_GB2312" w:eastAsia="仿宋_GB2312" w:cs="仿宋_GB2312"/>
                <w:b w:val="0"/>
                <w:bCs w:val="0"/>
                <w:color w:val="000000"/>
                <w:sz w:val="28"/>
                <w:szCs w:val="28"/>
              </w:rPr>
              <w:t>属于首次被发 现，且违规放牧 羊只数量较少。</w:t>
            </w:r>
          </w:p>
        </w:tc>
        <w:tc>
          <w:tcPr>
            <w:tcW w:w="3585"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r>
              <w:rPr>
                <w:rFonts w:hint="eastAsia" w:eastAsia="仿宋_GB2312" w:cs="Times New Roman"/>
                <w:sz w:val="28"/>
                <w:szCs w:val="28"/>
                <w:vertAlign w:val="baseline"/>
                <w:lang w:val="en-US" w:eastAsia="zh-CN"/>
              </w:rPr>
              <w:t>根据《宁夏回族自治区禁牧封育条例》第二十二条规定，在禁牧区域内放牧的，由县级以上人民政府农牧、林业主管部门或者乡镇人民政府责令改正，给予警告。</w:t>
            </w:r>
          </w:p>
        </w:tc>
        <w:tc>
          <w:tcPr>
            <w:tcW w:w="1589"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362"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eastAsia="仿宋_GB2312" w:cs="Times New Roman"/>
                <w:sz w:val="32"/>
                <w:szCs w:val="32"/>
                <w:vertAlign w:val="baseline"/>
                <w:lang w:val="en-US" w:eastAsia="zh-CN"/>
              </w:rPr>
            </w:pPr>
            <w:r>
              <w:rPr>
                <w:rFonts w:hint="eastAsia" w:eastAsia="仿宋_GB2312" w:cs="Times New Roman"/>
                <w:sz w:val="32"/>
                <w:szCs w:val="32"/>
                <w:vertAlign w:val="baseline"/>
                <w:lang w:val="en-US" w:eastAsia="zh-CN"/>
              </w:rPr>
              <w:t>不予处罚</w:t>
            </w:r>
          </w:p>
        </w:tc>
        <w:tc>
          <w:tcPr>
            <w:tcW w:w="3324"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eastAsia" w:eastAsia="仿宋_GB2312" w:cs="Times New Roman"/>
                <w:sz w:val="32"/>
                <w:szCs w:val="32"/>
                <w:vertAlign w:val="baseline"/>
                <w:lang w:val="en-US" w:eastAsia="zh-CN"/>
              </w:rPr>
            </w:pPr>
            <w:r>
              <w:rPr>
                <w:rFonts w:ascii="仿宋_GB2312" w:hAnsi="仿宋_GB2312" w:eastAsia="仿宋_GB2312" w:cs="仿宋_GB2312"/>
                <w:b w:val="0"/>
                <w:bCs w:val="0"/>
                <w:color w:val="000000"/>
                <w:sz w:val="28"/>
                <w:szCs w:val="28"/>
              </w:rPr>
              <w:t>乡、村庄规划区内未依 法取得乡村建设规划 许可证或者未按照乡 村建设规划许可证的 规定进行建设的</w:t>
            </w:r>
          </w:p>
        </w:tc>
        <w:tc>
          <w:tcPr>
            <w:tcW w:w="2091"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rPr>
                <w:rFonts w:hint="eastAsia" w:eastAsia="仿宋_GB2312" w:cs="Times New Roman"/>
                <w:sz w:val="32"/>
                <w:szCs w:val="32"/>
                <w:vertAlign w:val="baseline"/>
                <w:lang w:val="en-US" w:eastAsia="zh-CN"/>
              </w:rPr>
            </w:pPr>
            <w:r>
              <w:rPr>
                <w:rFonts w:ascii="仿宋_GB2312" w:hAnsi="仿宋_GB2312" w:eastAsia="仿宋_GB2312" w:cs="仿宋_GB2312"/>
                <w:b w:val="0"/>
                <w:bCs w:val="0"/>
                <w:color w:val="000000"/>
                <w:sz w:val="28"/>
                <w:szCs w:val="28"/>
              </w:rPr>
              <w:t>被发现后立即 停止违法行为， 主动拆除违建。</w:t>
            </w:r>
          </w:p>
        </w:tc>
        <w:tc>
          <w:tcPr>
            <w:tcW w:w="3585"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eastAsia" w:eastAsia="仿宋_GB2312" w:cs="Times New Roman"/>
                <w:sz w:val="32"/>
                <w:szCs w:val="32"/>
                <w:vertAlign w:val="baseline"/>
                <w:lang w:val="en-US" w:eastAsia="zh-CN"/>
              </w:rPr>
            </w:pPr>
            <w:r>
              <w:rPr>
                <w:rFonts w:ascii="仿宋_GB2312" w:hAnsi="仿宋_GB2312" w:eastAsia="仿宋_GB2312" w:cs="仿宋_GB2312"/>
                <w:b w:val="0"/>
                <w:bCs w:val="0"/>
                <w:color w:val="000000"/>
                <w:sz w:val="28"/>
                <w:szCs w:val="28"/>
              </w:rPr>
              <w:t>根据《中华人民共和国城乡规划法》第六十 五条规定，在乡、村庄规划区内未依法取得 乡村建设规划许可证或者未按照乡村建设规划许可证的规定进行建设的，由乡、镇人民 政府责令停止建设、限期改正；逾期不改正的，可以拆除。</w:t>
            </w:r>
          </w:p>
        </w:tc>
        <w:tc>
          <w:tcPr>
            <w:tcW w:w="1589" w:type="dxa"/>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jc w:val="center"/>
              <w:rPr>
                <w:rFonts w:hint="default" w:eastAsia="仿宋_GB2312" w:cs="Times New Roman"/>
                <w:sz w:val="32"/>
                <w:szCs w:val="32"/>
                <w:vertAlign w:val="baseline"/>
                <w:lang w:val="en-US" w:eastAsia="zh-CN"/>
              </w:rPr>
            </w:pPr>
          </w:p>
        </w:tc>
      </w:tr>
    </w:tbl>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p>
    <w:sectPr>
      <w:pgSz w:w="16838" w:h="11906"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MTg5ODZjYzliYjAxMWRiMTMzOWQ0Mjg4ZTJkYjYifQ=="/>
  </w:docVars>
  <w:rsids>
    <w:rsidRoot w:val="00172A27"/>
    <w:rsid w:val="011D32FF"/>
    <w:rsid w:val="012E345C"/>
    <w:rsid w:val="020371D5"/>
    <w:rsid w:val="02210B94"/>
    <w:rsid w:val="025E0AB8"/>
    <w:rsid w:val="027A0575"/>
    <w:rsid w:val="02E73D11"/>
    <w:rsid w:val="032949B8"/>
    <w:rsid w:val="036823FA"/>
    <w:rsid w:val="037D0E30"/>
    <w:rsid w:val="03AC1806"/>
    <w:rsid w:val="04590A83"/>
    <w:rsid w:val="04830183"/>
    <w:rsid w:val="04BD7923"/>
    <w:rsid w:val="06175871"/>
    <w:rsid w:val="06340F97"/>
    <w:rsid w:val="064E05BE"/>
    <w:rsid w:val="06540E14"/>
    <w:rsid w:val="068B25D9"/>
    <w:rsid w:val="072A01E2"/>
    <w:rsid w:val="07696AD6"/>
    <w:rsid w:val="078A03D3"/>
    <w:rsid w:val="07C12AD8"/>
    <w:rsid w:val="07E775D3"/>
    <w:rsid w:val="07FA09B0"/>
    <w:rsid w:val="083E11BD"/>
    <w:rsid w:val="08FB34E8"/>
    <w:rsid w:val="09805D3D"/>
    <w:rsid w:val="09F80B00"/>
    <w:rsid w:val="0A8C4462"/>
    <w:rsid w:val="0B1C3A38"/>
    <w:rsid w:val="0B542627"/>
    <w:rsid w:val="0C774C9E"/>
    <w:rsid w:val="0CB349FF"/>
    <w:rsid w:val="0F3A26DF"/>
    <w:rsid w:val="0FDD6BC6"/>
    <w:rsid w:val="102938BA"/>
    <w:rsid w:val="104330E8"/>
    <w:rsid w:val="115569C5"/>
    <w:rsid w:val="11B56F4A"/>
    <w:rsid w:val="11BF3931"/>
    <w:rsid w:val="12A531FF"/>
    <w:rsid w:val="130A1D52"/>
    <w:rsid w:val="13154329"/>
    <w:rsid w:val="137908E7"/>
    <w:rsid w:val="13BD75DE"/>
    <w:rsid w:val="146D56C4"/>
    <w:rsid w:val="14897A39"/>
    <w:rsid w:val="14FA532B"/>
    <w:rsid w:val="150B63A2"/>
    <w:rsid w:val="155747D0"/>
    <w:rsid w:val="1695111F"/>
    <w:rsid w:val="182745A3"/>
    <w:rsid w:val="186068E0"/>
    <w:rsid w:val="186B4D4D"/>
    <w:rsid w:val="187529D9"/>
    <w:rsid w:val="19816FCA"/>
    <w:rsid w:val="1A3C1BA1"/>
    <w:rsid w:val="1A55661F"/>
    <w:rsid w:val="1AB12986"/>
    <w:rsid w:val="1AB31597"/>
    <w:rsid w:val="1AE9320B"/>
    <w:rsid w:val="1AED67FD"/>
    <w:rsid w:val="1B5327B5"/>
    <w:rsid w:val="1B884018"/>
    <w:rsid w:val="1BE235C9"/>
    <w:rsid w:val="1C7835E8"/>
    <w:rsid w:val="1D345A49"/>
    <w:rsid w:val="1D6F6BEA"/>
    <w:rsid w:val="1F7230D5"/>
    <w:rsid w:val="1FB42F20"/>
    <w:rsid w:val="20112FE8"/>
    <w:rsid w:val="20400F16"/>
    <w:rsid w:val="20FA331B"/>
    <w:rsid w:val="21447280"/>
    <w:rsid w:val="21ED0DFC"/>
    <w:rsid w:val="22051615"/>
    <w:rsid w:val="224114F2"/>
    <w:rsid w:val="225C1A37"/>
    <w:rsid w:val="229743DF"/>
    <w:rsid w:val="22AF6AE8"/>
    <w:rsid w:val="236F3AA1"/>
    <w:rsid w:val="24400F4D"/>
    <w:rsid w:val="25567D63"/>
    <w:rsid w:val="25AD1332"/>
    <w:rsid w:val="26013AFE"/>
    <w:rsid w:val="26066708"/>
    <w:rsid w:val="26B410FC"/>
    <w:rsid w:val="27286E69"/>
    <w:rsid w:val="276A3982"/>
    <w:rsid w:val="27C74E36"/>
    <w:rsid w:val="286E2C1A"/>
    <w:rsid w:val="2A385615"/>
    <w:rsid w:val="2AA93E47"/>
    <w:rsid w:val="2B065713"/>
    <w:rsid w:val="2B0D1432"/>
    <w:rsid w:val="2CC87BBF"/>
    <w:rsid w:val="2E74344F"/>
    <w:rsid w:val="2F1415A7"/>
    <w:rsid w:val="2F514144"/>
    <w:rsid w:val="304B1E7F"/>
    <w:rsid w:val="30C95CAD"/>
    <w:rsid w:val="30C976A8"/>
    <w:rsid w:val="31496E99"/>
    <w:rsid w:val="31CA2399"/>
    <w:rsid w:val="31F84007"/>
    <w:rsid w:val="320532D2"/>
    <w:rsid w:val="32C27275"/>
    <w:rsid w:val="32CB171C"/>
    <w:rsid w:val="3329706F"/>
    <w:rsid w:val="346F257B"/>
    <w:rsid w:val="368C42CA"/>
    <w:rsid w:val="36F61C9A"/>
    <w:rsid w:val="36FB37F2"/>
    <w:rsid w:val="36FC2742"/>
    <w:rsid w:val="38227F3F"/>
    <w:rsid w:val="385277C8"/>
    <w:rsid w:val="38707144"/>
    <w:rsid w:val="38867924"/>
    <w:rsid w:val="3C5C33E5"/>
    <w:rsid w:val="3CB40BE7"/>
    <w:rsid w:val="3D1C7DEB"/>
    <w:rsid w:val="3DFF671E"/>
    <w:rsid w:val="40252AC7"/>
    <w:rsid w:val="404C483B"/>
    <w:rsid w:val="405F16F6"/>
    <w:rsid w:val="41555453"/>
    <w:rsid w:val="41C31B85"/>
    <w:rsid w:val="422D497B"/>
    <w:rsid w:val="429E7A35"/>
    <w:rsid w:val="42F42386"/>
    <w:rsid w:val="432A68F5"/>
    <w:rsid w:val="434F167D"/>
    <w:rsid w:val="45C774E4"/>
    <w:rsid w:val="467A01B5"/>
    <w:rsid w:val="46CF662F"/>
    <w:rsid w:val="47646185"/>
    <w:rsid w:val="47914047"/>
    <w:rsid w:val="486B374C"/>
    <w:rsid w:val="491E10AB"/>
    <w:rsid w:val="49553696"/>
    <w:rsid w:val="49621F85"/>
    <w:rsid w:val="497C50C6"/>
    <w:rsid w:val="49BE0815"/>
    <w:rsid w:val="4A985FBE"/>
    <w:rsid w:val="4BE87E9F"/>
    <w:rsid w:val="4CAC6F6E"/>
    <w:rsid w:val="4D651A08"/>
    <w:rsid w:val="4DC14ABD"/>
    <w:rsid w:val="4E613086"/>
    <w:rsid w:val="4EC303CD"/>
    <w:rsid w:val="4EE54A13"/>
    <w:rsid w:val="4FBC1A84"/>
    <w:rsid w:val="50C550ED"/>
    <w:rsid w:val="51034569"/>
    <w:rsid w:val="52903990"/>
    <w:rsid w:val="53672943"/>
    <w:rsid w:val="5398634C"/>
    <w:rsid w:val="53CE5AC3"/>
    <w:rsid w:val="54977B05"/>
    <w:rsid w:val="55856C59"/>
    <w:rsid w:val="5657569A"/>
    <w:rsid w:val="56652E6E"/>
    <w:rsid w:val="570A3D11"/>
    <w:rsid w:val="575E6A67"/>
    <w:rsid w:val="575E6CF1"/>
    <w:rsid w:val="57783371"/>
    <w:rsid w:val="58B8751D"/>
    <w:rsid w:val="598A3E1B"/>
    <w:rsid w:val="59C64D34"/>
    <w:rsid w:val="59DD776F"/>
    <w:rsid w:val="59E54E30"/>
    <w:rsid w:val="5A085C5F"/>
    <w:rsid w:val="5B2B0107"/>
    <w:rsid w:val="5B4B3F5D"/>
    <w:rsid w:val="5BBF315B"/>
    <w:rsid w:val="5BEE3F09"/>
    <w:rsid w:val="5C4D7305"/>
    <w:rsid w:val="5CA3673D"/>
    <w:rsid w:val="5CB214D2"/>
    <w:rsid w:val="5CB32AC7"/>
    <w:rsid w:val="5D8C1DE4"/>
    <w:rsid w:val="5EB8465B"/>
    <w:rsid w:val="5EDB271D"/>
    <w:rsid w:val="5F5D0366"/>
    <w:rsid w:val="5F6262E5"/>
    <w:rsid w:val="5F705E45"/>
    <w:rsid w:val="5F8B4815"/>
    <w:rsid w:val="60AD225C"/>
    <w:rsid w:val="615460B2"/>
    <w:rsid w:val="61B5591C"/>
    <w:rsid w:val="624D53FA"/>
    <w:rsid w:val="64061DFB"/>
    <w:rsid w:val="649B77DC"/>
    <w:rsid w:val="64E52F80"/>
    <w:rsid w:val="65255A30"/>
    <w:rsid w:val="65674FA0"/>
    <w:rsid w:val="65C806C0"/>
    <w:rsid w:val="677663C0"/>
    <w:rsid w:val="677F558F"/>
    <w:rsid w:val="67922E40"/>
    <w:rsid w:val="68EF720B"/>
    <w:rsid w:val="693A1144"/>
    <w:rsid w:val="694740DF"/>
    <w:rsid w:val="6A114FE0"/>
    <w:rsid w:val="6AE9213A"/>
    <w:rsid w:val="6B583ECD"/>
    <w:rsid w:val="6B594CBD"/>
    <w:rsid w:val="6BBE3B92"/>
    <w:rsid w:val="6CCB3C72"/>
    <w:rsid w:val="6CEA190B"/>
    <w:rsid w:val="6DFC7E15"/>
    <w:rsid w:val="6EA66095"/>
    <w:rsid w:val="72EF4A71"/>
    <w:rsid w:val="72FD2525"/>
    <w:rsid w:val="73012E22"/>
    <w:rsid w:val="73FE64D9"/>
    <w:rsid w:val="7584116D"/>
    <w:rsid w:val="75846DAF"/>
    <w:rsid w:val="75B116CB"/>
    <w:rsid w:val="75E55C1E"/>
    <w:rsid w:val="76280111"/>
    <w:rsid w:val="767A24AE"/>
    <w:rsid w:val="76804568"/>
    <w:rsid w:val="768D3B25"/>
    <w:rsid w:val="770C26BA"/>
    <w:rsid w:val="77A10C0A"/>
    <w:rsid w:val="77D716B7"/>
    <w:rsid w:val="78673F6C"/>
    <w:rsid w:val="789351D8"/>
    <w:rsid w:val="79C049B4"/>
    <w:rsid w:val="7AAE2999"/>
    <w:rsid w:val="7AF00DE9"/>
    <w:rsid w:val="7B3473F3"/>
    <w:rsid w:val="7B527D21"/>
    <w:rsid w:val="7B887753"/>
    <w:rsid w:val="7BFB01BB"/>
    <w:rsid w:val="7C743A23"/>
    <w:rsid w:val="7C976AF8"/>
    <w:rsid w:val="7D344DE6"/>
    <w:rsid w:val="7D3C3438"/>
    <w:rsid w:val="7D8B19EC"/>
    <w:rsid w:val="7DD41A1C"/>
    <w:rsid w:val="7DF35376"/>
    <w:rsid w:val="7E325778"/>
    <w:rsid w:val="7EA96341"/>
    <w:rsid w:val="7F0C2270"/>
    <w:rsid w:val="7F201229"/>
    <w:rsid w:val="7FA232F9"/>
    <w:rsid w:val="7FE3389F"/>
    <w:rsid w:val="7FF5449D"/>
    <w:rsid w:val="9EFB7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9"/>
    <w:basedOn w:val="1"/>
    <w:next w:val="1"/>
    <w:unhideWhenUsed/>
    <w:qFormat/>
    <w:uiPriority w:val="0"/>
    <w:pPr>
      <w:keepNext/>
      <w:keepLines/>
      <w:spacing w:before="240" w:after="64" w:line="317" w:lineRule="auto"/>
      <w:outlineLvl w:val="8"/>
    </w:pPr>
    <w:rPr>
      <w:rFonts w:ascii="Arial" w:hAnsi="Arial" w:eastAsia="黑体"/>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0"/>
    </w:rPr>
  </w:style>
  <w:style w:type="paragraph" w:styleId="3">
    <w:name w:val="Body Text Indent"/>
    <w:basedOn w:val="1"/>
    <w:next w:val="1"/>
    <w:qFormat/>
    <w:uiPriority w:val="0"/>
    <w:pPr>
      <w:ind w:left="420" w:leftChars="200"/>
    </w:pPr>
    <w:rPr>
      <w:rFonts w:hint="eastAsia" w:ascii="Times New Roman" w:hAnsi="Times New Roman"/>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1"/>
    <w:qFormat/>
    <w:uiPriority w:val="0"/>
    <w:pPr>
      <w:autoSpaceDE w:val="0"/>
      <w:autoSpaceDN w:val="0"/>
      <w:adjustRightInd w:val="0"/>
      <w:jc w:val="left"/>
    </w:pPr>
    <w:rPr>
      <w:rFonts w:ascii="黑体" w:eastAsia="黑体" w:cs="宋体"/>
      <w:color w:val="000000"/>
      <w:kern w:val="0"/>
      <w:sz w:val="24"/>
    </w:rPr>
  </w:style>
  <w:style w:type="paragraph" w:customStyle="1" w:styleId="12">
    <w:name w:val="UserStyle_0"/>
    <w:basedOn w:val="13"/>
    <w:qFormat/>
    <w:uiPriority w:val="0"/>
    <w:pPr>
      <w:spacing w:after="120"/>
      <w:ind w:left="420" w:leftChars="200" w:firstLine="420" w:firstLineChars="200"/>
      <w:jc w:val="both"/>
      <w:textAlignment w:val="baseline"/>
    </w:pPr>
  </w:style>
  <w:style w:type="paragraph" w:customStyle="1" w:styleId="13">
    <w:name w:val="UserStyle_1"/>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328</Words>
  <Characters>328</Characters>
  <Lines>0</Lines>
  <Paragraphs>0</Paragraphs>
  <TotalTime>3</TotalTime>
  <ScaleCrop>false</ScaleCrop>
  <LinksUpToDate>false</LinksUpToDate>
  <CharactersWithSpaces>341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一直都很慢@</dc:creator>
  <cp:lastModifiedBy>uos</cp:lastModifiedBy>
  <cp:lastPrinted>2022-06-06T10:03:00Z</cp:lastPrinted>
  <dcterms:modified xsi:type="dcterms:W3CDTF">2025-11-21T17:23:20Z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4B6ABF792FCF4CEE9E328D681B02EEEC_13</vt:lpwstr>
  </property>
</Properties>
</file>