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沙坡头区滨河镇</w:t>
      </w:r>
      <w:r>
        <w:rPr>
          <w:rFonts w:hint="eastAsia" w:ascii="方正小标宋_GBK" w:hAnsi="方正小标宋_GBK" w:eastAsia="方正小标宋_GBK" w:cs="方正小标宋_GBK"/>
          <w:b w:val="0"/>
          <w:bCs w:val="0"/>
          <w:sz w:val="44"/>
          <w:szCs w:val="44"/>
        </w:rPr>
        <w:t>行政执法主体资格</w:t>
      </w:r>
      <w:r>
        <w:rPr>
          <w:rFonts w:hint="eastAsia" w:ascii="方正小标宋_GBK" w:hAnsi="方正小标宋_GBK" w:eastAsia="方正小标宋_GBK" w:cs="方正小标宋_GBK"/>
          <w:b w:val="0"/>
          <w:bCs w:val="0"/>
          <w:sz w:val="44"/>
          <w:szCs w:val="44"/>
          <w:lang w:eastAsia="zh-CN"/>
        </w:rPr>
        <w:t>清单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楷体" w:hAnsi="楷体" w:eastAsia="楷体" w:cs="仿宋_GB2312"/>
          <w:sz w:val="32"/>
          <w:szCs w:val="32"/>
        </w:rPr>
      </w:pPr>
      <w:r>
        <w:rPr>
          <w:rFonts w:hint="eastAsia" w:ascii="楷体" w:hAnsi="楷体" w:eastAsia="楷体" w:cs="仿宋_GB2312"/>
          <w:sz w:val="32"/>
          <w:szCs w:val="32"/>
        </w:rPr>
        <w:t>（行政机关）</w:t>
      </w:r>
    </w:p>
    <w:tbl>
      <w:tblPr>
        <w:tblStyle w:val="3"/>
        <w:tblpPr w:leftFromText="180" w:rightFromText="180" w:vertAnchor="text" w:horzAnchor="page" w:tblpXSpec="center" w:tblpY="368"/>
        <w:tblOverlap w:val="never"/>
        <w:tblW w:w="10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459"/>
        <w:gridCol w:w="821"/>
        <w:gridCol w:w="767"/>
        <w:gridCol w:w="773"/>
        <w:gridCol w:w="450"/>
        <w:gridCol w:w="97"/>
        <w:gridCol w:w="750"/>
        <w:gridCol w:w="583"/>
        <w:gridCol w:w="1057"/>
        <w:gridCol w:w="484"/>
        <w:gridCol w:w="586"/>
        <w:gridCol w:w="473"/>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3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单位</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名称</w:t>
            </w:r>
          </w:p>
        </w:tc>
        <w:tc>
          <w:tcPr>
            <w:tcW w:w="4270"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中卫市沙坡头区</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滨河镇</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人民政府</w:t>
            </w:r>
          </w:p>
        </w:tc>
        <w:tc>
          <w:tcPr>
            <w:tcW w:w="1430"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单位地址</w:t>
            </w:r>
          </w:p>
        </w:tc>
        <w:tc>
          <w:tcPr>
            <w:tcW w:w="3269" w:type="dxa"/>
            <w:gridSpan w:val="5"/>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沙坡头区滨河镇中央大道西</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51号</w:t>
            </w: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法定代表人</w:t>
            </w:r>
          </w:p>
        </w:tc>
        <w:tc>
          <w:tcPr>
            <w:tcW w:w="4270" w:type="dxa"/>
            <w:gridSpan w:val="5"/>
            <w:vAlign w:val="center"/>
          </w:tcPr>
          <w:p>
            <w:pPr>
              <w:keepNext w:val="0"/>
              <w:keepLines w:val="0"/>
              <w:pageBreakBefore w:val="0"/>
              <w:kinsoku/>
              <w:wordWrap/>
              <w:overflowPunct/>
              <w:topLinePunct w:val="0"/>
              <w:autoSpaceDE/>
              <w:autoSpaceDN/>
              <w:bidi w:val="0"/>
              <w:adjustRightInd/>
              <w:snapToGrid/>
              <w:spacing w:line="560" w:lineRule="exact"/>
              <w:ind w:firstLine="1200" w:firstLineChars="500"/>
              <w:textAlignment w:val="auto"/>
              <w:outlineLvl w:val="9"/>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黄兴彦</w:t>
            </w:r>
          </w:p>
        </w:tc>
        <w:tc>
          <w:tcPr>
            <w:tcW w:w="143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组织机构</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代码证号</w:t>
            </w:r>
          </w:p>
        </w:tc>
        <w:tc>
          <w:tcPr>
            <w:tcW w:w="3269"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11642300010145174X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9" w:hRule="atLeast"/>
          <w:jc w:val="center"/>
        </w:trPr>
        <w:tc>
          <w:tcPr>
            <w:tcW w:w="1335"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主</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要</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职</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责</w:t>
            </w:r>
          </w:p>
        </w:tc>
        <w:tc>
          <w:tcPr>
            <w:tcW w:w="8969" w:type="dxa"/>
            <w:gridSpan w:val="13"/>
            <w:vAlign w:val="center"/>
          </w:tcPr>
          <w:p>
            <w:pPr>
              <w:keepNext w:val="0"/>
              <w:keepLines w:val="0"/>
              <w:pageBreakBefore w:val="0"/>
              <w:widowControl w:val="0"/>
              <w:kinsoku/>
              <w:wordWrap/>
              <w:overflowPunct/>
              <w:topLinePunct w:val="0"/>
              <w:autoSpaceDE/>
              <w:autoSpaceDN/>
              <w:bidi w:val="0"/>
              <w:adjustRightInd/>
              <w:snapToGrid w:val="0"/>
              <w:spacing w:line="350" w:lineRule="exact"/>
              <w:ind w:right="0" w:rightChars="0" w:firstLine="482" w:firstLineChars="200"/>
              <w:jc w:val="left"/>
              <w:textAlignment w:val="center"/>
              <w:outlineLvl w:val="9"/>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楷体" w:cs="Times New Roman"/>
                <w:b/>
                <w:bCs w:val="0"/>
                <w:color w:val="000000" w:themeColor="text1"/>
                <w:sz w:val="24"/>
                <w:szCs w:val="24"/>
                <w:lang w:val="en-US" w:eastAsia="zh-CN"/>
                <w14:textFill>
                  <w14:solidFill>
                    <w14:schemeClr w14:val="tx1"/>
                  </w14:solidFill>
                </w14:textFill>
              </w:rPr>
              <w:t>（一）执行政策法规。</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宣传和贯彻党和政府的各项路线、方针、政策；落实强农惠农和扶贫开发等各项措施；</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加强农村法制宣传教育和法律服务，提高群众法律意识和法律观念，保护农民的合法权益；推进依法行政，实施依</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法治理。</w:t>
            </w:r>
          </w:p>
          <w:p>
            <w:pPr>
              <w:keepNext w:val="0"/>
              <w:keepLines w:val="0"/>
              <w:pageBreakBefore w:val="0"/>
              <w:widowControl w:val="0"/>
              <w:kinsoku/>
              <w:wordWrap/>
              <w:overflowPunct/>
              <w:topLinePunct w:val="0"/>
              <w:autoSpaceDE/>
              <w:autoSpaceDN/>
              <w:bidi w:val="0"/>
              <w:adjustRightInd/>
              <w:snapToGrid w:val="0"/>
              <w:spacing w:line="350" w:lineRule="exact"/>
              <w:ind w:right="0" w:rightChars="0" w:firstLine="482" w:firstLineChars="200"/>
              <w:jc w:val="left"/>
              <w:textAlignment w:val="center"/>
              <w:outlineLvl w:val="9"/>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楷体" w:cs="Times New Roman"/>
                <w:b/>
                <w:bCs w:val="0"/>
                <w:color w:val="000000" w:themeColor="text1"/>
                <w:sz w:val="24"/>
                <w:szCs w:val="24"/>
                <w:lang w:val="en-US" w:eastAsia="zh-CN"/>
                <w14:textFill>
                  <w14:solidFill>
                    <w14:schemeClr w14:val="tx1"/>
                  </w14:solidFill>
                </w14:textFill>
              </w:rPr>
              <w:t>（二）促进经济发展。</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制定并实施镇村经济发展和新农村建设规划；做好农村集体三资管理，深化</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农村产权制度改革，促进农村经济繁荣发展；</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推进农村一二三产业融合发展，构建农业与二三产业交叉融合的现代产业体系；</w:t>
            </w:r>
            <w:r>
              <w:rPr>
                <w:rFonts w:hint="default" w:ascii="Times New Roman" w:hAnsi="Times New Roman" w:eastAsia="仿宋_GB2312" w:cs="Times New Roman"/>
                <w:color w:val="000000" w:themeColor="text1"/>
                <w:sz w:val="24"/>
                <w:szCs w:val="24"/>
                <w14:textFill>
                  <w14:solidFill>
                    <w14:schemeClr w14:val="tx1"/>
                  </w14:solidFill>
                </w14:textFill>
              </w:rPr>
              <w:t>推进扶贫开发，增加农民收入</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扶持新型经营主体发展，推动产业结构调整；做好辖区工业、服务业项目组织、协调、服务工作，促进工业、服务业运行规范化；</w:t>
            </w:r>
            <w:r>
              <w:rPr>
                <w:rFonts w:hint="default" w:ascii="Times New Roman" w:hAnsi="Times New Roman" w:eastAsia="仿宋_GB2312" w:cs="Times New Roman"/>
                <w:color w:val="000000" w:themeColor="text1"/>
                <w:sz w:val="24"/>
                <w:szCs w:val="24"/>
                <w14:textFill>
                  <w14:solidFill>
                    <w14:schemeClr w14:val="tx1"/>
                  </w14:solidFill>
                </w14:textFill>
              </w:rPr>
              <w:t>搞好开放外联工作，为招商引资创造良好的发展环境</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50" w:lineRule="exact"/>
              <w:ind w:right="0" w:rightChars="0" w:firstLine="482" w:firstLineChars="200"/>
              <w:jc w:val="left"/>
              <w:textAlignment w:val="center"/>
              <w:outlineLvl w:val="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楷体" w:cs="Times New Roman"/>
                <w:b/>
                <w:color w:val="000000" w:themeColor="text1"/>
                <w:sz w:val="24"/>
                <w:szCs w:val="24"/>
                <w:lang w:val="en-US" w:eastAsia="zh-CN"/>
                <w14:textFill>
                  <w14:solidFill>
                    <w14:schemeClr w14:val="tx1"/>
                  </w14:solidFill>
                </w14:textFill>
              </w:rPr>
              <w:t>（三）</w:t>
            </w:r>
            <w:r>
              <w:rPr>
                <w:rFonts w:hint="default" w:ascii="Times New Roman" w:hAnsi="Times New Roman" w:eastAsia="楷体" w:cs="Times New Roman"/>
                <w:b/>
                <w:color w:val="000000" w:themeColor="text1"/>
                <w:sz w:val="24"/>
                <w:szCs w:val="24"/>
                <w14:textFill>
                  <w14:solidFill>
                    <w14:schemeClr w14:val="tx1"/>
                  </w14:solidFill>
                </w14:textFill>
              </w:rPr>
              <w:t>强化公共服务。</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加强生态建设和环境保护，努力改善人居环境；</w:t>
            </w:r>
            <w:r>
              <w:rPr>
                <w:rFonts w:hint="default" w:ascii="Times New Roman" w:hAnsi="Times New Roman" w:eastAsia="仿宋_GB2312" w:cs="Times New Roman"/>
                <w:color w:val="000000" w:themeColor="text1"/>
                <w:sz w:val="24"/>
                <w:szCs w:val="24"/>
                <w14:textFill>
                  <w14:solidFill>
                    <w14:schemeClr w14:val="tx1"/>
                  </w14:solidFill>
                </w14:textFill>
              </w:rPr>
              <w:t>建立和完善社会保障体系，推进和落实</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社会</w:t>
            </w:r>
            <w:r>
              <w:rPr>
                <w:rFonts w:hint="default" w:ascii="Times New Roman" w:hAnsi="Times New Roman" w:eastAsia="仿宋_GB2312" w:cs="Times New Roman"/>
                <w:color w:val="000000" w:themeColor="text1"/>
                <w:sz w:val="24"/>
                <w:szCs w:val="24"/>
                <w14:textFill>
                  <w14:solidFill>
                    <w14:schemeClr w14:val="tx1"/>
                  </w14:solidFill>
                </w14:textFill>
              </w:rPr>
              <w:t>保险、社会救助和最低生活保障等制度</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开展</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城乡困难群体</w:t>
            </w:r>
            <w:r>
              <w:rPr>
                <w:rFonts w:hint="default" w:ascii="Times New Roman" w:hAnsi="Times New Roman" w:eastAsia="仿宋_GB2312" w:cs="Times New Roman"/>
                <w:color w:val="000000" w:themeColor="text1"/>
                <w:sz w:val="24"/>
                <w:szCs w:val="24"/>
                <w14:textFill>
                  <w14:solidFill>
                    <w14:schemeClr w14:val="tx1"/>
                  </w14:solidFill>
                </w14:textFill>
              </w:rPr>
              <w:t>救助帮扶工作</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；落实计划生育基本国策，推进优生优育；</w:t>
            </w:r>
            <w:r>
              <w:rPr>
                <w:rFonts w:hint="default" w:ascii="Times New Roman" w:hAnsi="Times New Roman" w:eastAsia="仿宋_GB2312" w:cs="Times New Roman"/>
                <w:color w:val="000000" w:themeColor="text1"/>
                <w:sz w:val="24"/>
                <w:szCs w:val="24"/>
                <w14:textFill>
                  <w14:solidFill>
                    <w14:schemeClr w14:val="tx1"/>
                  </w14:solidFill>
                </w14:textFill>
              </w:rPr>
              <w:t>加强公用基础设施的建设与管理，</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改善农民生产生活条件；</w:t>
            </w:r>
            <w:r>
              <w:rPr>
                <w:rFonts w:hint="default" w:ascii="Times New Roman" w:hAnsi="Times New Roman" w:eastAsia="仿宋_GB2312" w:cs="Times New Roman"/>
                <w:color w:val="000000" w:themeColor="text1"/>
                <w:sz w:val="24"/>
                <w:szCs w:val="24"/>
                <w14:textFill>
                  <w14:solidFill>
                    <w14:schemeClr w14:val="tx1"/>
                  </w14:solidFill>
                </w14:textFill>
              </w:rPr>
              <w:t>加强教育、</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科技、</w:t>
            </w:r>
            <w:r>
              <w:rPr>
                <w:rFonts w:hint="default" w:ascii="Times New Roman" w:hAnsi="Times New Roman" w:eastAsia="仿宋_GB2312" w:cs="Times New Roman"/>
                <w:color w:val="000000" w:themeColor="text1"/>
                <w:sz w:val="24"/>
                <w:szCs w:val="24"/>
                <w14:textFill>
                  <w14:solidFill>
                    <w14:schemeClr w14:val="tx1"/>
                  </w14:solidFill>
                </w14:textFill>
              </w:rPr>
              <w:t>卫生</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和精神文明建设，繁荣发展文化；完善公共</w:t>
            </w:r>
            <w:r>
              <w:rPr>
                <w:rFonts w:hint="default" w:ascii="Times New Roman" w:hAnsi="Times New Roman" w:eastAsia="仿宋_GB2312" w:cs="Times New Roman"/>
                <w:color w:val="000000" w:themeColor="text1"/>
                <w:sz w:val="24"/>
                <w:szCs w:val="24"/>
                <w14:textFill>
                  <w14:solidFill>
                    <w14:schemeClr w14:val="tx1"/>
                  </w14:solidFill>
                </w14:textFill>
              </w:rPr>
              <w:t>服务体系，为群众和市场主体提供政策、科技、信息等服务</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协助开展医疗卫生保健工作。</w:t>
            </w:r>
          </w:p>
          <w:p>
            <w:pPr>
              <w:keepNext w:val="0"/>
              <w:keepLines w:val="0"/>
              <w:pageBreakBefore w:val="0"/>
              <w:widowControl w:val="0"/>
              <w:kinsoku/>
              <w:wordWrap/>
              <w:overflowPunct/>
              <w:topLinePunct w:val="0"/>
              <w:autoSpaceDE/>
              <w:autoSpaceDN/>
              <w:bidi w:val="0"/>
              <w:adjustRightInd/>
              <w:snapToGrid w:val="0"/>
              <w:spacing w:line="350" w:lineRule="exact"/>
              <w:ind w:right="0" w:rightChars="0" w:firstLine="482" w:firstLineChars="200"/>
              <w:jc w:val="left"/>
              <w:textAlignment w:val="center"/>
              <w:outlineLvl w:val="9"/>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楷体" w:cs="Times New Roman"/>
                <w:b/>
                <w:color w:val="000000" w:themeColor="text1"/>
                <w:sz w:val="24"/>
                <w:szCs w:val="24"/>
                <w:lang w:val="en-US" w:eastAsia="zh-CN"/>
                <w14:textFill>
                  <w14:solidFill>
                    <w14:schemeClr w14:val="tx1"/>
                  </w14:solidFill>
                </w14:textFill>
              </w:rPr>
              <w:t>（</w:t>
            </w:r>
            <w:r>
              <w:rPr>
                <w:rFonts w:hint="default" w:ascii="Times New Roman" w:hAnsi="Times New Roman" w:eastAsia="楷体" w:cs="Times New Roman"/>
                <w:b/>
                <w:color w:val="000000" w:themeColor="text1"/>
                <w:sz w:val="24"/>
                <w:szCs w:val="24"/>
                <w:lang w:eastAsia="zh-CN"/>
                <w14:textFill>
                  <w14:solidFill>
                    <w14:schemeClr w14:val="tx1"/>
                  </w14:solidFill>
                </w14:textFill>
              </w:rPr>
              <w:t>四</w:t>
            </w:r>
            <w:r>
              <w:rPr>
                <w:rFonts w:hint="default" w:ascii="Times New Roman" w:hAnsi="Times New Roman" w:eastAsia="楷体" w:cs="Times New Roman"/>
                <w:b/>
                <w:color w:val="000000" w:themeColor="text1"/>
                <w:sz w:val="24"/>
                <w:szCs w:val="24"/>
                <w14:textFill>
                  <w14:solidFill>
                    <w14:schemeClr w14:val="tx1"/>
                  </w14:solidFill>
                </w14:textFill>
              </w:rPr>
              <w:t>）加强社会管理。</w:t>
            </w:r>
            <w:r>
              <w:rPr>
                <w:rFonts w:hint="default" w:ascii="Times New Roman" w:hAnsi="Times New Roman" w:eastAsia="仿宋_GB2312" w:cs="Times New Roman"/>
                <w:color w:val="000000" w:themeColor="text1"/>
                <w:sz w:val="24"/>
                <w:szCs w:val="24"/>
                <w14:textFill>
                  <w14:solidFill>
                    <w14:schemeClr w14:val="tx1"/>
                  </w14:solidFill>
                </w14:textFill>
              </w:rPr>
              <w:t>保证社会公正，维护社会秩序和社会稳定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；加</w:t>
            </w:r>
            <w:r>
              <w:rPr>
                <w:rFonts w:hint="default" w:ascii="Times New Roman" w:hAnsi="Times New Roman" w:eastAsia="仿宋_GB2312" w:cs="Times New Roman"/>
                <w:color w:val="000000" w:themeColor="text1"/>
                <w:sz w:val="24"/>
                <w:szCs w:val="24"/>
                <w14:textFill>
                  <w14:solidFill>
                    <w14:schemeClr w14:val="tx1"/>
                  </w14:solidFill>
                </w14:textFill>
              </w:rPr>
              <w:t>强社会治安综合治理，完善治安防控体系</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；建立矛盾纠纷大调解机制，</w:t>
            </w:r>
            <w:r>
              <w:rPr>
                <w:rFonts w:hint="default" w:ascii="Times New Roman" w:hAnsi="Times New Roman" w:eastAsia="仿宋_GB2312" w:cs="Times New Roman"/>
                <w:color w:val="000000" w:themeColor="text1"/>
                <w:sz w:val="24"/>
                <w:szCs w:val="24"/>
                <w14:textFill>
                  <w14:solidFill>
                    <w14:schemeClr w14:val="tx1"/>
                  </w14:solidFill>
                </w14:textFill>
              </w:rPr>
              <w:t>畅通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群众</w:t>
            </w:r>
            <w:r>
              <w:rPr>
                <w:rFonts w:hint="default" w:ascii="Times New Roman" w:hAnsi="Times New Roman" w:eastAsia="仿宋_GB2312" w:cs="Times New Roman"/>
                <w:color w:val="000000" w:themeColor="text1"/>
                <w:sz w:val="24"/>
                <w:szCs w:val="24"/>
                <w14:textFill>
                  <w14:solidFill>
                    <w14:schemeClr w14:val="tx1"/>
                  </w14:solidFill>
                </w14:textFill>
              </w:rPr>
              <w:t>诉求渠道，及时掌握社情民意，排查化解矛盾纠纷</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建立健全应急管理体制，提高危机处置能力</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依法管理宗教事务，反对和制止利用宗教和宗教势力干预公共事务</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；抓好防灾救灾、</w:t>
            </w:r>
            <w:r>
              <w:rPr>
                <w:rFonts w:hint="default" w:ascii="Times New Roman" w:hAnsi="Times New Roman" w:eastAsia="仿宋_GB2312" w:cs="Times New Roman"/>
                <w:color w:val="000000" w:themeColor="text1"/>
                <w:sz w:val="24"/>
                <w:szCs w:val="24"/>
                <w14:textFill>
                  <w14:solidFill>
                    <w14:schemeClr w14:val="tx1"/>
                  </w14:solidFill>
                </w14:textFill>
              </w:rPr>
              <w:t>安全生产、土地管理、城市规划、征地拆迁、环境保护、农技推广、林</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木</w:t>
            </w:r>
            <w:r>
              <w:rPr>
                <w:rFonts w:hint="default" w:ascii="Times New Roman" w:hAnsi="Times New Roman" w:eastAsia="仿宋_GB2312" w:cs="Times New Roman"/>
                <w:color w:val="000000" w:themeColor="text1"/>
                <w:sz w:val="24"/>
                <w:szCs w:val="24"/>
                <w14:textFill>
                  <w14:solidFill>
                    <w14:schemeClr w14:val="tx1"/>
                  </w14:solidFill>
                </w14:textFill>
              </w:rPr>
              <w:t>管护、水利建设、动物疫病防治、市场监管等工作</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50" w:lineRule="exact"/>
              <w:ind w:right="0" w:rightChars="0" w:firstLine="482" w:firstLineChars="200"/>
              <w:jc w:val="left"/>
              <w:textAlignment w:val="center"/>
              <w:outlineLvl w:val="9"/>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楷体" w:cs="Times New Roman"/>
                <w:b/>
                <w:bCs/>
                <w:i w:val="0"/>
                <w:caps w:val="0"/>
                <w:color w:val="000000" w:themeColor="text1"/>
                <w:spacing w:val="0"/>
                <w:sz w:val="24"/>
                <w:szCs w:val="24"/>
                <w:shd w:val="clear" w:color="auto" w:fill="FFFFFF"/>
                <w:lang w:val="en-US" w:eastAsia="zh-CN"/>
                <w14:textFill>
                  <w14:solidFill>
                    <w14:schemeClr w14:val="tx1"/>
                  </w14:solidFill>
                </w14:textFill>
              </w:rPr>
              <w:t>（五）推进基层民主。</w:t>
            </w:r>
            <w:r>
              <w:rPr>
                <w:rFonts w:hint="default" w:ascii="Times New Roman" w:hAnsi="Times New Roman" w:eastAsia="仿宋_GB2312" w:cs="Times New Roman"/>
                <w:b w:val="0"/>
                <w:i w:val="0"/>
                <w:caps w:val="0"/>
                <w:color w:val="000000" w:themeColor="text1"/>
                <w:spacing w:val="0"/>
                <w:sz w:val="24"/>
                <w:szCs w:val="24"/>
                <w:shd w:val="clear" w:color="auto" w:fill="FFFFFF"/>
                <w:lang w:eastAsia="zh-CN"/>
                <w14:textFill>
                  <w14:solidFill>
                    <w14:schemeClr w14:val="tx1"/>
                  </w14:solidFill>
                </w14:textFill>
              </w:rPr>
              <w:t>加强党的思想政治建设、组织建设、作风建设、制度建设和</w:t>
            </w:r>
            <w:r>
              <w:rPr>
                <w:rFonts w:hint="eastAsia" w:ascii="Times New Roman" w:hAnsi="Times New Roman" w:eastAsia="仿宋_GB2312" w:cs="Times New Roman"/>
                <w:b w:val="0"/>
                <w:i w:val="0"/>
                <w:caps w:val="0"/>
                <w:color w:val="000000" w:themeColor="text1"/>
                <w:spacing w:val="0"/>
                <w:sz w:val="24"/>
                <w:szCs w:val="24"/>
                <w:shd w:val="clear" w:color="auto" w:fill="FFFFFF"/>
                <w:lang w:eastAsia="zh-CN"/>
                <w14:textFill>
                  <w14:solidFill>
                    <w14:schemeClr w14:val="tx1"/>
                  </w14:solidFill>
                </w14:textFill>
              </w:rPr>
              <w:t>党风廉政</w:t>
            </w:r>
            <w:bookmarkStart w:id="0" w:name="_GoBack"/>
            <w:bookmarkEnd w:id="0"/>
            <w:r>
              <w:rPr>
                <w:rFonts w:hint="default" w:ascii="Times New Roman" w:hAnsi="Times New Roman" w:eastAsia="仿宋_GB2312" w:cs="Times New Roman"/>
                <w:b w:val="0"/>
                <w:i w:val="0"/>
                <w:caps w:val="0"/>
                <w:color w:val="000000" w:themeColor="text1"/>
                <w:spacing w:val="0"/>
                <w:sz w:val="24"/>
                <w:szCs w:val="24"/>
                <w:shd w:val="clear" w:color="auto" w:fill="FFFFFF"/>
                <w:lang w:eastAsia="zh-CN"/>
                <w14:textFill>
                  <w14:solidFill>
                    <w14:schemeClr w14:val="tx1"/>
                  </w14:solidFill>
                </w14:textFill>
              </w:rPr>
              <w:t>建设，充分发挥工会、共青团、妇联等群众团体的桥梁纽带作用；健全党组织领导下的村（居）民自治机制，推进民主政治建设，扩大基层民主，保障法律法规赋予公民的民主权利；加强基层组织建设，引导村（居）民有序参与村（居）级事务管理，推进村（居）务公开，促进社会组织健康发展，</w:t>
            </w:r>
            <w:r>
              <w:rPr>
                <w:rFonts w:hint="default" w:ascii="Times New Roman" w:hAnsi="Times New Roman" w:eastAsia="仿宋_GB2312" w:cs="Times New Roman"/>
                <w:b w:val="0"/>
                <w:i w:val="0"/>
                <w:caps w:val="0"/>
                <w:color w:val="000000" w:themeColor="text1"/>
                <w:spacing w:val="0"/>
                <w:sz w:val="24"/>
                <w:szCs w:val="24"/>
                <w:shd w:val="clear" w:color="auto" w:fill="FFFFFF"/>
                <w14:textFill>
                  <w14:solidFill>
                    <w14:schemeClr w14:val="tx1"/>
                  </w14:solidFill>
                </w14:textFill>
              </w:rPr>
              <w:t>增强农村社会自治</w:t>
            </w:r>
            <w:r>
              <w:rPr>
                <w:rFonts w:hint="default" w:ascii="Times New Roman" w:hAnsi="Times New Roman" w:eastAsia="仿宋_GB2312" w:cs="Times New Roman"/>
                <w:b w:val="0"/>
                <w:i w:val="0"/>
                <w:caps w:val="0"/>
                <w:color w:val="000000" w:themeColor="text1"/>
                <w:spacing w:val="0"/>
                <w:sz w:val="24"/>
                <w:szCs w:val="24"/>
                <w:shd w:val="clear" w:color="auto" w:fill="FFFFFF"/>
                <w:lang w:eastAsia="zh-CN"/>
                <w14:textFill>
                  <w14:solidFill>
                    <w14:schemeClr w14:val="tx1"/>
                  </w14:solidFill>
                </w14:textFill>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35"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t>常设</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t>机构</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机构</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名称</w:t>
            </w:r>
          </w:p>
        </w:tc>
        <w:tc>
          <w:tcPr>
            <w:tcW w:w="5298" w:type="dxa"/>
            <w:gridSpan w:val="8"/>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主要职责</w:t>
            </w:r>
          </w:p>
        </w:tc>
        <w:tc>
          <w:tcPr>
            <w:tcW w:w="1070"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机构</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负责人</w:t>
            </w:r>
          </w:p>
        </w:tc>
        <w:tc>
          <w:tcPr>
            <w:tcW w:w="114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联系</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335"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45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党政办公室</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p>
        </w:tc>
        <w:tc>
          <w:tcPr>
            <w:tcW w:w="5298"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负责党委、政府日常事务及各类会议的筹备、组织；负责做好组织、宣传、统战（民宗）、共青团、妇联、宣传思想文化和精神文明建设等工作；负责应急、综合协调工作；负责国有资产管理、机关后勤保障日常管理服务工作；督促检查工作落实。</w:t>
            </w:r>
          </w:p>
        </w:tc>
        <w:tc>
          <w:tcPr>
            <w:tcW w:w="107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王银霞</w:t>
            </w:r>
          </w:p>
        </w:tc>
        <w:tc>
          <w:tcPr>
            <w:tcW w:w="1142"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7015579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133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45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综治维稳办公室</w:t>
            </w:r>
          </w:p>
        </w:tc>
        <w:tc>
          <w:tcPr>
            <w:tcW w:w="5298"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负责社会治安综合治理、信访和维护社会稳定等工作；负责信访事项、群众来信</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来</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访、上级部门转（批）办信访事项等的办理工作</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；负责</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排查化解各类矛盾纠纷，做好人民调解、社区矫正、法律援助、法制宣传教育以及禁毒、戒毒（康复）、社区矫正、安置帮教等工作；配合做好与公安、法庭等派出机关的联系、协调工作。</w:t>
            </w:r>
          </w:p>
        </w:tc>
        <w:tc>
          <w:tcPr>
            <w:tcW w:w="107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俞学良</w:t>
            </w:r>
          </w:p>
        </w:tc>
        <w:tc>
          <w:tcPr>
            <w:tcW w:w="1142" w:type="dxa"/>
            <w:gridSpan w:val="2"/>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7019140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33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45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综合行政执法队</w:t>
            </w:r>
          </w:p>
        </w:tc>
        <w:tc>
          <w:tcPr>
            <w:tcW w:w="5298" w:type="dxa"/>
            <w:gridSpan w:val="8"/>
            <w:vAlign w:val="center"/>
          </w:tcPr>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default"/>
                <w:lang w:val="en-US" w:eastAsia="zh-CN"/>
              </w:rPr>
            </w:pP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负责依照现行法律、法规和规章赋予乡镇政府的法定行政执法权行使行政执法管理职能和开展行政执法工作；负责依法履行环境保护</w:t>
            </w:r>
            <w: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t>、国土资源、安全生产</w:t>
            </w: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方面法律法规宣传教育、监督管理、巡查执法工作，</w:t>
            </w:r>
            <w: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t>维护好集镇周边交通秩序和规范管理零散摊点，</w:t>
            </w: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做好辖区</w:t>
            </w:r>
            <w: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t>内</w:t>
            </w: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环境保护基础设施管理、环境污染防治、环境卫生管理、水源地保护</w:t>
            </w:r>
            <w: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t>、垃圾秸秆禁烧</w:t>
            </w: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等工作</w:t>
            </w:r>
            <w: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负责旅游</w:t>
            </w:r>
            <w: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t>管理服务工作；</w:t>
            </w:r>
            <w:r>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t>负责违法行为劝阻、罚没物资管理等工作</w:t>
            </w:r>
            <w: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t>。</w:t>
            </w:r>
          </w:p>
        </w:tc>
        <w:tc>
          <w:tcPr>
            <w:tcW w:w="107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王成文</w:t>
            </w:r>
          </w:p>
        </w:tc>
        <w:tc>
          <w:tcPr>
            <w:tcW w:w="1142" w:type="dxa"/>
            <w:gridSpan w:val="2"/>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7012508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33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45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经济发展综合服务中心</w:t>
            </w:r>
          </w:p>
        </w:tc>
        <w:tc>
          <w:tcPr>
            <w:tcW w:w="5298"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负责国家财经政策的宣传、贯彻，编制全镇国民经济发展计划、全面小康建设规划；负责财政性资金管理，贯彻执行国家涉农财政补贴政策，组织执行年度财政预算，完成各项经济和社会发展任务；负责做好统计事务；负责村级财务审计及财务公开、农民负担、农业承包活动、农民专业合作社的指导监督管理；负责建设项目、工业企业项目的编制、申报、实施、监督、管理工作，协助村（社区）做好项目争取工作；负责镇固定资产监管、报废申报处置工作；负责协调工商、税务、金融等方面的工作关系。</w:t>
            </w:r>
          </w:p>
        </w:tc>
        <w:tc>
          <w:tcPr>
            <w:tcW w:w="107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吴艳红</w:t>
            </w:r>
          </w:p>
        </w:tc>
        <w:tc>
          <w:tcPr>
            <w:tcW w:w="1142" w:type="dxa"/>
            <w:gridSpan w:val="2"/>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8876766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335"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t>常设</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eastAsia"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t>机构</w:t>
            </w:r>
          </w:p>
        </w:tc>
        <w:tc>
          <w:tcPr>
            <w:tcW w:w="145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民生服务</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中心</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p>
        </w:tc>
        <w:tc>
          <w:tcPr>
            <w:tcW w:w="5298"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负责组织实施城乡低保户的核实、困难群体的调查，协助做好低保、高龄津贴等困难群众救助资金的发放和相关的帮扶工作；指导开展社会事务、城乡社区服务体系建设，指导开展村务公开和民主管理工作，组织</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落实</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日间照料中心、社区建设和服务等工作；负责辖区居民基本养老、医疗保险参保登记和被征地农民资格认定等社会保险工作；搞好辖区劳务输出工作，提供劳动保障政策的咨询和用工信息等就业创业工作；负责提供计划生育的优质技术服务，做好辖区内育龄人口计划生育的审核、流动人口计划生育的管理工作；负责文化、体育、广播、电视、电影等阵地建设，做好相关的服务、协调工作；组织开展辖区内的群众性文体活动；负责做好气象灾害防御和公共气象服务工作。</w:t>
            </w:r>
          </w:p>
        </w:tc>
        <w:tc>
          <w:tcPr>
            <w:tcW w:w="107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李敏</w:t>
            </w:r>
          </w:p>
        </w:tc>
        <w:tc>
          <w:tcPr>
            <w:tcW w:w="1142" w:type="dxa"/>
            <w:gridSpan w:val="2"/>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7011232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35"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农业科技推广服务中心</w:t>
            </w:r>
          </w:p>
        </w:tc>
        <w:tc>
          <w:tcPr>
            <w:tcW w:w="5298"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负责国家农业、农村工作政策</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扶贫政策的宣传、贯彻，制定乡镇农业发展规划、扶贫开发工作规划；负责种植业、农业机械、畜牧水产、水利、林业的管理工作；负责农业社会化服务体系建设，推动农村商品生产发展，培育和发展农机服务市场；负责农业、农村政策法规</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的宣传和</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贯彻执行情况</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监督检查；负责</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农业综合政策性保险和农业惠农资金补贴工作；负责农田建设、国土绿化、防汛抗旱、疫病防控、</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禁牧封育、</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林地林权</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林木</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管理</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、牲畜屠宰管理</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等工作；负责扶贫开发</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实施、监督、管理工作，协调处理扶贫中的实际困难和问题；负责开展各类科普宣传，做好各类科普服务工作。</w:t>
            </w:r>
          </w:p>
        </w:tc>
        <w:tc>
          <w:tcPr>
            <w:tcW w:w="107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张秀芳</w:t>
            </w:r>
          </w:p>
        </w:tc>
        <w:tc>
          <w:tcPr>
            <w:tcW w:w="1142"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7010571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13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t>内设</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28"/>
                <w:szCs w:val="28"/>
                <w:shd w:val="clear" w:color="auto" w:fill="FFFFFF"/>
                <w:lang w:eastAsia="zh-CN"/>
                <w14:textFill>
                  <w14:solidFill>
                    <w14:schemeClr w14:val="tx1"/>
                  </w14:solidFill>
                </w14:textFill>
              </w:rPr>
              <w:t>机构</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城乡建设办公室</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p>
        </w:tc>
        <w:tc>
          <w:tcPr>
            <w:tcW w:w="5298" w:type="dxa"/>
            <w:gridSpan w:val="8"/>
            <w:vAlign w:val="center"/>
          </w:tcPr>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eastAsia"/>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负责辖区内土地资源的管理工作</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做好房屋征收、土地</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征用征收</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、回迁安置、</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建设用地规划</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审批等</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工作</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；负责商贸招商引资工作的落实；负责</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协调服务辖区在建工程项目</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负责村镇规划管理，</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做好</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小区物业管理、生活污水治理及改厕等工作</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负责</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全域</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旅游</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工作</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w:t>
            </w:r>
          </w:p>
        </w:tc>
        <w:tc>
          <w:tcPr>
            <w:tcW w:w="107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王洪</w:t>
            </w:r>
          </w:p>
        </w:tc>
        <w:tc>
          <w:tcPr>
            <w:tcW w:w="1142"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7010750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3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主要承担法制业务</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的科室</w:t>
            </w:r>
          </w:p>
        </w:tc>
        <w:tc>
          <w:tcPr>
            <w:tcW w:w="8969" w:type="dxa"/>
            <w:gridSpan w:val="13"/>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党政办</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综治维稳办公室</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335"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执法</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类型</w:t>
            </w:r>
          </w:p>
        </w:tc>
        <w:tc>
          <w:tcPr>
            <w:tcW w:w="2280"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许可</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行政裁决</w:t>
            </w:r>
          </w:p>
        </w:tc>
        <w:tc>
          <w:tcPr>
            <w:tcW w:w="547"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收费</w:t>
            </w:r>
          </w:p>
        </w:tc>
        <w:tc>
          <w:tcPr>
            <w:tcW w:w="5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征收</w:t>
            </w:r>
          </w:p>
        </w:tc>
        <w:tc>
          <w:tcPr>
            <w:tcW w:w="48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059"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确认</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（登记）</w:t>
            </w:r>
          </w:p>
        </w:tc>
        <w:tc>
          <w:tcPr>
            <w:tcW w:w="66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280"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强制</w:t>
            </w:r>
          </w:p>
        </w:tc>
        <w:tc>
          <w:tcPr>
            <w:tcW w:w="7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77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行政检查</w:t>
            </w:r>
          </w:p>
        </w:tc>
        <w:tc>
          <w:tcPr>
            <w:tcW w:w="547"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处罚</w:t>
            </w:r>
          </w:p>
        </w:tc>
        <w:tc>
          <w:tcPr>
            <w:tcW w:w="5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行政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给付</w:t>
            </w:r>
          </w:p>
        </w:tc>
        <w:tc>
          <w:tcPr>
            <w:tcW w:w="48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1059"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其他</w:t>
            </w:r>
          </w:p>
        </w:tc>
        <w:tc>
          <w:tcPr>
            <w:tcW w:w="66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13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执法依据（法律法规、地方性法规、政府规章、规范性文件）</w:t>
            </w:r>
          </w:p>
        </w:tc>
        <w:tc>
          <w:tcPr>
            <w:tcW w:w="8969" w:type="dxa"/>
            <w:gridSpan w:val="13"/>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1"/>
                <w:szCs w:val="21"/>
                <w14:textFill>
                  <w14:solidFill>
                    <w14:schemeClr w14:val="tx1"/>
                  </w14:solidFill>
                </w14:textFill>
              </w:rPr>
              <w:t>《中华人民共和国安全生产法》《中华人民共和国土地管理法实施条例》《中华人民共和国草原法》《中华人民共和国防汛条例》《宁夏回族自治区农村集体资产管理条例》《宁夏回族自治区人口与计划生育条例》《宁夏回族自治区村民委员会选举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13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监督机构</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及电话</w:t>
            </w:r>
          </w:p>
        </w:tc>
        <w:tc>
          <w:tcPr>
            <w:tcW w:w="8969" w:type="dxa"/>
            <w:gridSpan w:val="1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党政办7012550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B2EA3"/>
    <w:rsid w:val="10117790"/>
    <w:rsid w:val="26915C07"/>
    <w:rsid w:val="32B60CEA"/>
    <w:rsid w:val="338568E3"/>
    <w:rsid w:val="34531E05"/>
    <w:rsid w:val="3C751770"/>
    <w:rsid w:val="3DF97360"/>
    <w:rsid w:val="43C11A8F"/>
    <w:rsid w:val="56ED3DC4"/>
    <w:rsid w:val="5933667E"/>
    <w:rsid w:val="5FEB2EA3"/>
    <w:rsid w:val="69C7462E"/>
    <w:rsid w:val="7B1F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2019-08-15T09:41:00Z</dcterms:created>
  <dc:creator>Alovera</dc:creator>
  <cp:lastModifiedBy>Administrator</cp:lastModifiedBy>
  <cp:lastPrinted>2019-08-26T09:58:00Z</cp:lastPrinted>
  <dcterms:modified xsi:type="dcterms:W3CDTF">2021-08-25T09:59:36Z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CF1FC70405FB4EDB9528669FAF8A1333</vt:lpwstr>
  </property>
</Properties>
</file>