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46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附件4</w:t>
      </w:r>
    </w:p>
    <w:p w14:paraId="1C170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</w:pPr>
    </w:p>
    <w:p w14:paraId="0118E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  <w:t>滨河镇基本情况及如何选取临时安置点示例</w:t>
      </w:r>
    </w:p>
    <w:bookmarkEnd w:id="0"/>
    <w:p w14:paraId="26A40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01EFE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滨河镇基本情况</w:t>
      </w:r>
    </w:p>
    <w:p w14:paraId="69DC4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滨河镇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地处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沙坡头区北部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，距中卫市沙坡头区人民政府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1.6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公里，距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文昌镇2.5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公里，距中卫市人民政府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1.3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公里，全镇面积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28.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47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平方公里，下辖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个村，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个社区，95个村民小组，142个社区网格，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55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个基层党组织，有党员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1960余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人。镇内有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个为民服务站，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个警务室，4所医院，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12个卫生服务室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，1所大学，1所大中专职业学院，4所中学，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所完全小学，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所幼儿园。常住人口70696户149450人，其中，少数民族4613人，占总人口3%。辖区应急避难场所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43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处、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4.8万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平方米，可容纳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8.8万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人避险。灾害隐患点分别有城北村危房隐患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、炭场子村黄河滩涂隐患等。</w:t>
      </w:r>
    </w:p>
    <w:p w14:paraId="4A441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75B0E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临时性安置点</w:t>
      </w:r>
    </w:p>
    <w:p w14:paraId="6DD77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滨河镇应急临时性安置点设置在中卫市运动广场，属新河社区管理，位于中卫市沙坡头区平安大道南侧，东、南、西三面均为新墩居民小区。向北有黄河沟渠、向西南有大板村水源地、向西为新河社区所在地、向东有应急管理局，应急期内可进行饮水、排污、发电等功能建设。室内建筑综合训练馆占地1625平方米，建筑面积2422平方米，建筑高度13.1米，整体一层、局部二层，为框架预应力大板结构，建筑抗震设防烈度为8度，耐火等级为二级，室内设置有饮水间、卫生间、淋浴室等功能区，应急期内可改造为医疗场所、餐饮场所等。室外运动场由11人制足球场、2个篮球场、2个排球场、6个网球场组成，足球场场地为人工草坪，缓冲带区域为塑胶地面，均设有张拉膜结构遮阳棚及活动式看台和座椅。附属设施主要建设4347平方米车行道路、1320平方米健步道、1200平方米广场、2010平方米草坪砖停车场和1.02万平方米绿地等。预计可安装8㎡应急帐篷3300余顶，容纳人数约1.67万人。</w:t>
      </w:r>
    </w:p>
    <w:p w14:paraId="457FF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YmIyNmQzMDFiNTI0NTFiYjkwYTExMzVmYzg3ZDgifQ=="/>
  </w:docVars>
  <w:rsids>
    <w:rsidRoot w:val="1EFD439E"/>
    <w:rsid w:val="1EFD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2024-08-23T07:55:00Z</dcterms:created>
  <dc:creator>rabb1t</dc:creator>
  <cp:lastModifiedBy>rabb1t</cp:lastModifiedBy>
  <dcterms:modified xsi:type="dcterms:W3CDTF">2024-08-23T07:56:08Z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DCEF1BF6CCFF4C88937E2411C4237167_11</vt:lpwstr>
  </property>
</Properties>
</file>