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6"/>
        <w:tblW w:w="139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089"/>
        <w:gridCol w:w="1622"/>
        <w:gridCol w:w="1483"/>
        <w:gridCol w:w="1980"/>
        <w:gridCol w:w="2853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9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年沙坡头区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 w:bidi="ar"/>
              </w:rPr>
              <w:t>水肥一体化高效节水增粮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项目示范区建设主体遴选结果公示表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所在乡镇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示范作物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实施面积（亩）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法人姓名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中卫市光明富民农业科技有限公司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宣和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水稻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00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陈超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中卫市鼎丰家庭农场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东园镇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玉米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>000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王春玲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000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仿宋_GB2312"/>
          <w:color w:val="000000"/>
          <w:kern w:val="0"/>
          <w:sz w:val="24"/>
          <w:lang w:bidi="ar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41F07"/>
    <w:rsid w:val="464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2025-04-30T09:19:00Z</dcterms:created>
  <dc:creator>Administrator</dc:creator>
  <cp:lastModifiedBy>Administrator</cp:lastModifiedBy>
  <dcterms:modified xsi:type="dcterms:W3CDTF">2025-04-30T09:19:47Z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