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沙坡头区2024年中药材初加工聚集地建设项目验收公示表</w:t>
      </w:r>
    </w:p>
    <w:tbl>
      <w:tblPr>
        <w:tblStyle w:val="3"/>
        <w:tblW w:w="124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64"/>
        <w:gridCol w:w="1394"/>
        <w:gridCol w:w="1378"/>
        <w:gridCol w:w="1152"/>
        <w:gridCol w:w="3420"/>
        <w:gridCol w:w="1320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中药材类型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创建面积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验收是否符合创建标准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  <w:t>沙坡头区2024年中药材初加工聚集地建设项目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中卫市阳光沐场农牧有限公司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永康镇双达村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金银花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在沙坡头区培育龙头企业建设中药材初加工聚集地1个，建设金银花标准化种植示范基地320亩，与合作社、家庭农场、种植户签订订单生产收购协议，收购全区种植的金银花520吨。开展中药材收购、初加工、深加工、流通和销售全产业链服务，引导合理安排生产，促进产销衔接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801E4"/>
    <w:rsid w:val="1CC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2024-11-18T01:42:00Z</dcterms:created>
  <dc:creator>Administrator</dc:creator>
  <cp:lastModifiedBy>Administrator</cp:lastModifiedBy>
  <dcterms:modified xsi:type="dcterms:W3CDTF">2024-11-18T01:42:55Z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