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val="0"/>
        <w:bidi w:val="0"/>
        <w:adjustRightInd/>
        <w:snapToGrid/>
        <w:spacing w:line="550" w:lineRule="exact"/>
        <w:ind w:right="0" w:rightChars="0"/>
        <w:jc w:val="center"/>
        <w:textAlignment w:val="auto"/>
        <w:outlineLvl w:val="9"/>
        <w:rPr>
          <w:rFonts w:hint="default" w:ascii="Times New Roman" w:hAnsi="Times New Roman" w:eastAsia="方正小标宋_GBK" w:cs="Times New Roman"/>
          <w:b w:val="0"/>
          <w:i w:val="0"/>
          <w:snapToGrid/>
          <w:color w:val="000000"/>
          <w:spacing w:val="0"/>
          <w:sz w:val="44"/>
          <w:szCs w:val="44"/>
          <w:lang w:eastAsia="zh-CN"/>
        </w:rPr>
      </w:pPr>
      <w:r>
        <w:rPr>
          <w:rFonts w:hint="eastAsia" w:ascii="Times New Roman" w:hAnsi="Times New Roman" w:eastAsia="方正小标宋_GBK" w:cs="Times New Roman"/>
          <w:b w:val="0"/>
          <w:i w:val="0"/>
          <w:snapToGrid/>
          <w:color w:val="000000"/>
          <w:spacing w:val="0"/>
          <w:sz w:val="44"/>
          <w:szCs w:val="44"/>
          <w:lang w:eastAsia="zh-CN"/>
        </w:rPr>
        <w:t>中卫市</w:t>
      </w:r>
      <w:r>
        <w:rPr>
          <w:rFonts w:hint="default" w:ascii="Times New Roman" w:hAnsi="Times New Roman" w:eastAsia="方正小标宋_GBK" w:cs="Times New Roman"/>
          <w:b w:val="0"/>
          <w:i w:val="0"/>
          <w:snapToGrid/>
          <w:color w:val="000000"/>
          <w:spacing w:val="0"/>
          <w:sz w:val="44"/>
          <w:szCs w:val="44"/>
          <w:lang w:eastAsia="zh-CN"/>
        </w:rPr>
        <w:t>沙坡头区属国有企业投资项目负面清单（征求意见稿）</w:t>
      </w:r>
    </w:p>
    <w:p>
      <w:pPr>
        <w:keepNext w:val="0"/>
        <w:keepLines w:val="0"/>
        <w:pageBreakBefore w:val="0"/>
        <w:widowControl w:val="0"/>
        <w:kinsoku/>
        <w:wordWrap/>
        <w:overflowPunct/>
        <w:topLinePunct w:val="0"/>
        <w:autoSpaceDE/>
        <w:autoSpaceDN w:val="0"/>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黑体" w:cs="Times New Roman"/>
          <w:b w:val="0"/>
          <w:i w:val="0"/>
          <w:snapToGrid/>
          <w:color w:val="000000"/>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黑体" w:cs="Times New Roman"/>
          <w:b w:val="0"/>
          <w:i w:val="0"/>
          <w:snapToGrid/>
          <w:color w:val="000000"/>
          <w:sz w:val="32"/>
          <w:szCs w:val="32"/>
          <w:lang w:eastAsia="zh-CN"/>
        </w:rPr>
      </w:pPr>
      <w:r>
        <w:rPr>
          <w:rFonts w:hint="default" w:ascii="Times New Roman" w:hAnsi="Times New Roman" w:eastAsia="黑体" w:cs="Times New Roman"/>
          <w:b w:val="0"/>
          <w:i w:val="0"/>
          <w:snapToGrid/>
          <w:color w:val="000000"/>
          <w:sz w:val="32"/>
          <w:szCs w:val="32"/>
          <w:lang w:eastAsia="zh-CN"/>
        </w:rPr>
        <w:t>一、禁止类投资项目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1.国家发布的《市场准入负面清单》禁止准入类投资项目。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2.《宁夏回族自治区能耗双控产业结构调整指导目录（试行）》禁止类、淘汰类投资项目。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3.不符合经</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区财政局</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审核的企业发展战略规划的投资项目。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4.不符合企业投资决策程序和管理制度的投资项目。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5.未明确融资、投资、管理、退出方式和相关责任人的投资项目。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6.项目资本金低于国家、自治区</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、中卫市、沙坡头区</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和项目所在地相关规定要求的投资项目。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7.未列入企业年度投资计划的投资项目（经履行相关程序调整的年度投资计划项目不在范围内）。</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8.非主业投资项目。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9</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SA"/>
        </w:rPr>
        <w:t>.</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SA"/>
        </w:rPr>
        <w:t>高负债企业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继续推高企业负债率的投资项目。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10.投资预期收益率低于同期5年期国债利率的商业性投资项目。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11.主业中没有房地产业务的区属</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国有企业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新购土地进行房地产投资开发项目。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12.将一个完整项目分拆为若干个子项目以规避可能的出资人审查的投资项目。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13.对产权关系不明晰或存在重大或有负债风险企业的投资项目。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14.对被列入企业诚信黑名单，资信不佳、资产质量状况较差，以及明显缺乏投资能力企业的投资或合作项目。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eastAsia" w:ascii="黑体" w:hAnsi="黑体" w:eastAsia="黑体" w:cs="黑体"/>
          <w:i w:val="0"/>
          <w:caps w:val="0"/>
          <w:color w:val="000000"/>
          <w:spacing w:val="0"/>
          <w:kern w:val="0"/>
          <w:sz w:val="32"/>
          <w:szCs w:val="32"/>
          <w:shd w:val="clear" w:color="auto" w:fill="FFFFFF"/>
          <w:lang w:val="en-US" w:eastAsia="zh-CN" w:bidi="ar-SA"/>
        </w:rPr>
      </w:pPr>
      <w:r>
        <w:rPr>
          <w:rFonts w:hint="eastAsia" w:ascii="黑体" w:hAnsi="黑体" w:eastAsia="黑体" w:cs="黑体"/>
          <w:i w:val="0"/>
          <w:caps w:val="0"/>
          <w:color w:val="000000"/>
          <w:spacing w:val="0"/>
          <w:kern w:val="0"/>
          <w:sz w:val="32"/>
          <w:szCs w:val="32"/>
          <w:shd w:val="clear" w:color="auto" w:fill="FFFFFF"/>
          <w:lang w:val="en-US" w:eastAsia="zh-CN" w:bidi="ar-SA"/>
        </w:rPr>
        <w:t>二、特别监管类投资项目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沙坡头</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区属</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国有企业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投资以下项目，应当在履行内部决策程序后，向</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沙坡头</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区相关部门上报前，报</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区财政局</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履行审核程序。</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1.国家发布的《市场准入负面清单》许可准入类投资项目。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2.《宁夏回族自治区能耗双控产业结构调整指导目录（试行）》限制类投资项目。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3.单项投资额超过企业上年度合并报表净资产20%的投资项目。</w:t>
      </w:r>
    </w:p>
    <w:p>
      <w:pPr>
        <w:keepNext w:val="0"/>
        <w:keepLines w:val="0"/>
        <w:pageBreakBefore w:val="0"/>
        <w:widowControl w:val="0"/>
        <w:kinsoku/>
        <w:wordWrap/>
        <w:overflowPunct/>
        <w:topLinePunct w:val="0"/>
        <w:autoSpaceDE/>
        <w:bidi w:val="0"/>
        <w:adjustRightInd/>
        <w:snapToGrid/>
        <w:spacing w:line="550" w:lineRule="exact"/>
        <w:ind w:right="0" w:rightChars="0" w:firstLine="640" w:firstLineChars="200"/>
        <w:jc w:val="both"/>
        <w:textAlignment w:val="auto"/>
        <w:outlineLvl w:val="9"/>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4.企业成立子公司。</w:t>
      </w:r>
    </w:p>
    <w:p>
      <w:pPr>
        <w:pStyle w:val="9"/>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left="0" w:right="0" w:rightChars="0" w:firstLine="840"/>
        <w:jc w:val="both"/>
        <w:textAlignment w:val="auto"/>
      </w:pPr>
    </w:p>
    <w:p>
      <w:bookmarkStart w:id="0" w:name="_GoBack"/>
      <w:bookmarkEnd w:id="0"/>
    </w:p>
    <w:sectPr>
      <w:footerReference r:id="rId3" w:type="default"/>
      <w:pgSz w:w="11906" w:h="16838"/>
      <w:pgMar w:top="2098" w:right="1474" w:bottom="1984" w:left="1587" w:header="851" w:footer="992" w:gutter="0"/>
      <w:pgNumType w:fmt="numberInDash"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90E74"/>
    <w:rsid w:val="1D0D3ADA"/>
    <w:rsid w:val="21AF647D"/>
    <w:rsid w:val="258D477B"/>
    <w:rsid w:val="30590E74"/>
    <w:rsid w:val="33194076"/>
    <w:rsid w:val="34813753"/>
    <w:rsid w:val="36417FA3"/>
    <w:rsid w:val="397E4A6B"/>
    <w:rsid w:val="4CFA09DB"/>
    <w:rsid w:val="4D621BFE"/>
    <w:rsid w:val="55AD7834"/>
    <w:rsid w:val="5AAA5D34"/>
    <w:rsid w:val="61274C8B"/>
    <w:rsid w:val="66857308"/>
    <w:rsid w:val="68BF7898"/>
    <w:rsid w:val="738B4229"/>
    <w:rsid w:val="7972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cs="Times New Roman"/>
      <w:kern w:val="0"/>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7">
    <w:name w:val="Strong"/>
    <w:basedOn w:val="6"/>
    <w:qFormat/>
    <w:uiPriority w:val="0"/>
    <w:rPr>
      <w:b/>
    </w:rPr>
  </w:style>
  <w:style w:type="paragraph" w:customStyle="1" w:styleId="9">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2024-12-23T07:18:00Z</dcterms:created>
  <dc:creator>lenovo</dc:creator>
  <cp:lastModifiedBy>Administrator</cp:lastModifiedBy>
  <cp:lastPrinted>2025-07-07T05:58:26Z</cp:lastPrinted>
  <dcterms:modified xsi:type="dcterms:W3CDTF">2025-07-07T05:58:50Z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