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E91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1CD3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沙坡头区农副产品1+X加工区（西区）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房屋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征收与补偿安置方案</w:t>
      </w:r>
    </w:p>
    <w:p w14:paraId="4A721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eastAsia" w:eastAsia="方正小标宋_GBK" w:cs="Times New Roman"/>
          <w:b w:val="0"/>
          <w:bCs/>
          <w:color w:val="auto"/>
          <w:sz w:val="44"/>
          <w:szCs w:val="44"/>
          <w:lang w:eastAsia="zh-CN"/>
        </w:rPr>
        <w:t>（征求意见稿）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br w:type="textWrapping"/>
      </w:r>
    </w:p>
    <w:p w14:paraId="13603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因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项目建设需要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国务院《国有土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地上房屋征收与补偿条例》有关规定，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沙坡头区人民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政府决定对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沙坡头区农副产品1+X加工区（西区）房屋</w:t>
      </w:r>
      <w:r>
        <w:rPr>
          <w:rFonts w:hint="default" w:eastAsia="仿宋_GB2312" w:cs="Times New Roman"/>
          <w:color w:val="auto"/>
          <w:kern w:val="0"/>
          <w:sz w:val="32"/>
          <w:szCs w:val="32"/>
        </w:rPr>
        <w:t>实施征收。为切实做好项目范围内房屋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征收与补偿安置工作，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沙坡头区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实际，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制定本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方案。</w:t>
      </w:r>
    </w:p>
    <w:p w14:paraId="49862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一、房屋征收部门：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中卫市沙坡头区住房城乡建设和交通局</w:t>
      </w:r>
    </w:p>
    <w:p w14:paraId="2986D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二、房屋征收实施单位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沙坡头区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迎水桥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人民政府</w:t>
      </w:r>
    </w:p>
    <w:p w14:paraId="753E6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三、房屋征收签约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期限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日，征收期限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天。</w:t>
      </w:r>
    </w:p>
    <w:p w14:paraId="3AF2B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四、房屋征收范围</w:t>
      </w:r>
      <w:r>
        <w:rPr>
          <w:rFonts w:hint="eastAsia" w:eastAsia="黑体" w:cs="Times New Roman"/>
          <w:color w:val="auto"/>
          <w:kern w:val="0"/>
          <w:sz w:val="32"/>
          <w:szCs w:val="32"/>
          <w:lang w:eastAsia="zh-CN"/>
        </w:rPr>
        <w:t>、土地性质、现状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：</w:t>
      </w:r>
      <w:bookmarkStart w:id="0" w:name="OLE_LINK1"/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包兰铁路以南、国道338线以北、看守所东侧围墙以西、加油站西侧围墙以东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区域，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共涉及12户，建筑面积1.04万平方米，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属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国有建设用地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凡在此范围内的所有建（构）筑物、附属物均属征收对象。</w:t>
      </w:r>
      <w:bookmarkEnd w:id="0"/>
    </w:p>
    <w:p w14:paraId="2A4DA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征收目的：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项目建设需要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4A5DC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eastAsia" w:eastAsia="黑体" w:cs="Times New Roman"/>
          <w:bCs/>
          <w:color w:val="auto"/>
          <w:kern w:val="0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法律法规及政策依据</w:t>
      </w:r>
    </w:p>
    <w:p w14:paraId="2918D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）《中华人民共和国城乡规划法》</w:t>
      </w:r>
    </w:p>
    <w:p w14:paraId="34CE8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）《中华人民共和国土地管理法》</w:t>
      </w:r>
    </w:p>
    <w:p w14:paraId="15638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（三）《中华人民共和国城市房地产管理法》</w:t>
      </w:r>
    </w:p>
    <w:p w14:paraId="6C2BA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）《中华人民共和国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民法典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》</w:t>
      </w:r>
    </w:p>
    <w:p w14:paraId="1E012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《中华人民共和国土地管理法实施条例》</w:t>
      </w:r>
    </w:p>
    <w:p w14:paraId="02F67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国务院《国有土地上房屋征收与补偿条例》</w:t>
      </w:r>
    </w:p>
    <w:p w14:paraId="68D2F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住房和城乡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部《国有土地上房屋征收评估办法》</w:t>
      </w:r>
    </w:p>
    <w:p w14:paraId="2E731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36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36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kern w:val="36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《宁夏回族自治区实施〈国有土地上房屋征收与补偿条例〉办法》</w:t>
      </w:r>
    </w:p>
    <w:p w14:paraId="303600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市人民政府关于印发〈中卫市土地及附着物征收补偿指导意见（试行）〉的通知》（卫政规发〔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2023〕1号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73F70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36"/>
          <w:sz w:val="32"/>
          <w:szCs w:val="32"/>
          <w:lang w:eastAsia="zh-CN"/>
        </w:rPr>
        <w:t>（十）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其他法律法规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及有关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规定</w:t>
      </w:r>
    </w:p>
    <w:p w14:paraId="3A177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、被征收房屋面积及性质认定</w:t>
      </w:r>
    </w:p>
    <w:p w14:paraId="357A3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沙坡头区人民政府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作出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房屋征收决定前，协调市自然资源、住建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部门依法对征收范围内的房屋的区位、用途、结构、建筑面积进行调查、认定和处理，并将调查结果在项目范围内进行公示。对认定为合法的给予补偿，对认定为违法、违规的不予补偿。</w:t>
      </w:r>
    </w:p>
    <w:p w14:paraId="708AE5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违法违规土地认定情形</w:t>
      </w:r>
    </w:p>
    <w:p w14:paraId="0E746F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1.无国有土地使用权证；</w:t>
      </w:r>
    </w:p>
    <w:p w14:paraId="0A0E29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2.无集体土地宅基地使用证；</w:t>
      </w:r>
    </w:p>
    <w:p w14:paraId="5A652F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3.不符合申领条件，违法取得集体土地宅基地使用证的；</w:t>
      </w:r>
    </w:p>
    <w:p w14:paraId="2A9950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4.无所在乡镇出具的土地使用权证明;</w:t>
      </w:r>
    </w:p>
    <w:p w14:paraId="7FA09C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5.法律法规规定的其他违法违规行为。</w:t>
      </w:r>
    </w:p>
    <w:p w14:paraId="2A31DD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（二）违法违章建筑认定情形</w:t>
      </w:r>
    </w:p>
    <w:p w14:paraId="2E1755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1.未取得建设工程规划许可证或者虽取得建设工程规划许可证，但单位未按批准范围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内容施工的；</w:t>
      </w:r>
    </w:p>
    <w:p w14:paraId="3A36DA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2.未经批准在宅基地外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屋顶等自建建（构）筑物；</w:t>
      </w:r>
    </w:p>
    <w:p w14:paraId="037706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3.未经批准在承包地上新建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改建和扩建的建（构）筑物；</w:t>
      </w:r>
    </w:p>
    <w:p w14:paraId="0E2830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4.在非法占有的国有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集体土地上新建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改建和扩建的建（构）筑物；</w:t>
      </w:r>
    </w:p>
    <w:p w14:paraId="2AD1A8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5.未经批准占用过道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马路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公共绿地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人行道等搭建的固定亭棚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房屋等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；</w:t>
      </w:r>
    </w:p>
    <w:p w14:paraId="4D6383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6.在征收范围确定后实施新建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扩建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改建的建（构）筑物；</w:t>
      </w:r>
    </w:p>
    <w:p w14:paraId="44AEA2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7.法律法规规定的其他违法违规行为。</w:t>
      </w:r>
    </w:p>
    <w:p w14:paraId="5BCB4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、评估机构的选定</w:t>
      </w:r>
    </w:p>
    <w:p w14:paraId="764FF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房地产评估机构选定工作由房屋征收部门负责，房屋征收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实施单位组织。被征收人依据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《宁夏回族自治区实施〈国有土地上房屋征收与补偿条例〉办法》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规定协商选定房地产评估机构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在规定期限内（自印发选定评估机构文件之日起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5日内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）协商不成的，由征收部门组织被征收人按照少数服从多数的原则投票；如投票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不能形成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多数意见的，则采取摇号、抽签等方式随机选定。由公证部门对选定过程和结果进行现场公证，并出具公证文书。</w:t>
      </w:r>
    </w:p>
    <w:p w14:paraId="01CAC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、被征收房屋价值的确定</w:t>
      </w:r>
    </w:p>
    <w:p w14:paraId="67401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被征收房屋价格由选定的房地产评估机构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按照《国有土地上房屋征收评估办法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市人民政府关于印发〈中卫市土地及附着物征收补偿指导意见（试行）〉的通知》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（卫政规发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1号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评估确定。对评估确定的房屋价值有异议的，自收到评估报告之日起10日内向原房地产价格评估机构申请复核评估。</w:t>
      </w:r>
    </w:p>
    <w:p w14:paraId="3914F91C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黑体" w:cs="Times New Roman"/>
          <w:b w:val="0"/>
          <w:bCs w:val="0"/>
          <w:color w:val="auto"/>
          <w:kern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eastAsia="zh-CN"/>
        </w:rPr>
        <w:t>、房屋征收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补偿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标准</w:t>
      </w:r>
    </w:p>
    <w:p w14:paraId="53E8F0B7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（一）被征收房屋、装修及附属物价值补偿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选定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的房地产价格评估机构依法评估确定。</w:t>
      </w:r>
    </w:p>
    <w:p w14:paraId="3B748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激励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性奖励。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市人民政府关于印发〈中卫市土地及附着物征收补偿指导意见（试行）〉的通知》</w:t>
      </w:r>
      <w:r>
        <w:rPr>
          <w:rFonts w:hint="default" w:eastAsia="仿宋_GB2312" w:cs="Times New Roman"/>
          <w:sz w:val="32"/>
          <w:szCs w:val="32"/>
          <w:lang w:eastAsia="zh-CN"/>
        </w:rPr>
        <w:t>（卫政规发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1号</w:t>
      </w:r>
      <w:r>
        <w:rPr>
          <w:rFonts w:hint="default" w:eastAsia="仿宋_GB2312" w:cs="Times New Roman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文件精神，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对积极配合并在签约期限内带头签订协议的拆迁住户，考虑政策的连续性可给予适当奖励，奖励费用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拆迁户总补偿费用的10%计算，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征收补偿决定发布之日起，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对前10天内带头签订协议并及时按期拆除清理，经验收达到要求，可给予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30%奖励，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但不重复享受。</w:t>
      </w:r>
    </w:p>
    <w:p w14:paraId="5C625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eastAsia="zh-CN"/>
        </w:rPr>
        <w:t>停产停业损失补偿。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对正常生产经营企业的停产停业损失的补偿，按照被征收房屋评估价值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7‰的比例乘以停产停业期限（月）计算。对被征收人实行货币化补偿，一次性给予3个月的停产停业损失补偿。</w:t>
      </w:r>
    </w:p>
    <w:p w14:paraId="734B0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十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、征收补偿安置方式</w:t>
      </w:r>
    </w:p>
    <w:p w14:paraId="069EF6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征收补偿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采取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eastAsia="zh-CN"/>
        </w:rPr>
        <w:t>货币补偿</w:t>
      </w:r>
      <w:r>
        <w:rPr>
          <w:rFonts w:hint="eastAsia" w:eastAsia="仿宋_GB2312" w:cs="Times New Roman"/>
          <w:b/>
          <w:bCs w:val="0"/>
          <w:color w:val="auto"/>
          <w:kern w:val="0"/>
          <w:sz w:val="32"/>
          <w:szCs w:val="32"/>
          <w:u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u w:val="none"/>
        </w:rPr>
        <w:t>产权</w:t>
      </w:r>
      <w:r>
        <w:rPr>
          <w:rFonts w:hint="eastAsia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调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u w:val="none"/>
        </w:rPr>
        <w:t>换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补偿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方式进行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。</w:t>
      </w:r>
    </w:p>
    <w:p w14:paraId="5F2646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货币补偿。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补偿总价包括被征收房屋、装修及附属物价值的补偿，以及激励性奖励</w:t>
      </w:r>
      <w:r>
        <w:rPr>
          <w:rFonts w:hint="eastAsia" w:eastAsia="仿宋_GB2312" w:cs="Times New Roman"/>
          <w:bCs/>
          <w:color w:val="auto"/>
          <w:sz w:val="32"/>
          <w:szCs w:val="32"/>
          <w:u w:val="none"/>
          <w:lang w:eastAsia="zh-CN"/>
        </w:rPr>
        <w:t>、停产停业损失补偿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。被征收人签订《房屋征收与补偿安置协议》后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eastAsia="zh-CN"/>
        </w:rPr>
        <w:t>，房屋征收实施单位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将补偿款支付给被征收人。</w:t>
      </w:r>
    </w:p>
    <w:p w14:paraId="1C7B94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（二）产权调换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以现房的方式在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lang w:eastAsia="zh-CN"/>
        </w:rPr>
        <w:t>沙坡头区旅游新镇等安置小区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存量住房中安置。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产权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调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换面积按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房屋征收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补偿总价除以安置住房安置均价进行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调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换。</w:t>
      </w:r>
    </w:p>
    <w:p w14:paraId="3DA43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选择多层住房安置的，安置住房均价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1880元/平方米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，楼层价格调整系数一层为零，二层上浮10%，三层上浮12%，四层上浮8%，五层下浮9%，六层下浮21%。</w:t>
      </w:r>
    </w:p>
    <w:p w14:paraId="4DD14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选择小高层住房安置的，安置住房起价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2060元/平方米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一层、顶层为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安置价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；一层以上每层增加20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7FA97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u w:val="none"/>
        </w:rPr>
        <w:t>实际置换面积不得超过应置换面积的20%。</w:t>
      </w:r>
      <w:r>
        <w:rPr>
          <w:rFonts w:eastAsia="仿宋_GB2312"/>
          <w:color w:val="000000"/>
          <w:kern w:val="0"/>
          <w:sz w:val="32"/>
          <w:szCs w:val="32"/>
        </w:rPr>
        <w:t>其中：超出应置换面积5%以内的，由被征收人在实际所选安置楼层对应价格的基础上按200元/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平方米</w:t>
      </w:r>
      <w:r>
        <w:rPr>
          <w:rFonts w:eastAsia="仿宋_GB2312"/>
          <w:color w:val="000000"/>
          <w:kern w:val="0"/>
          <w:sz w:val="32"/>
          <w:szCs w:val="32"/>
        </w:rPr>
        <w:t>补交购房价款；超出应置换面积</w:t>
      </w:r>
      <w:r>
        <w:rPr>
          <w:rFonts w:hint="eastAsia" w:eastAsia="仿宋_GB2312"/>
          <w:color w:val="000000"/>
          <w:kern w:val="0"/>
          <w:sz w:val="32"/>
          <w:szCs w:val="32"/>
        </w:rPr>
        <w:t>5.01%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—</w:t>
      </w:r>
      <w:r>
        <w:rPr>
          <w:rFonts w:eastAsia="仿宋_GB2312"/>
          <w:color w:val="000000"/>
          <w:kern w:val="0"/>
          <w:sz w:val="32"/>
          <w:szCs w:val="32"/>
        </w:rPr>
        <w:t>10%的，由被征收人在实际所选安置楼层对应价格的基础上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按400元/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平方米</w:t>
      </w:r>
      <w:r>
        <w:rPr>
          <w:rFonts w:eastAsia="仿宋_GB2312"/>
          <w:color w:val="000000"/>
          <w:kern w:val="0"/>
          <w:sz w:val="32"/>
          <w:szCs w:val="32"/>
        </w:rPr>
        <w:t>补交购房价款；超出应置换面积1</w:t>
      </w:r>
      <w:r>
        <w:rPr>
          <w:rFonts w:hint="eastAsia" w:eastAsia="仿宋_GB2312"/>
          <w:color w:val="000000"/>
          <w:kern w:val="0"/>
          <w:sz w:val="32"/>
          <w:szCs w:val="32"/>
        </w:rPr>
        <w:t>0.01%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—</w:t>
      </w:r>
      <w:r>
        <w:rPr>
          <w:rFonts w:eastAsia="仿宋_GB2312"/>
          <w:color w:val="000000"/>
          <w:kern w:val="0"/>
          <w:sz w:val="32"/>
          <w:szCs w:val="32"/>
        </w:rPr>
        <w:t>20%的，由被征收人在实际所选安置楼层对应价格的基础上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按600元/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平方米</w:t>
      </w:r>
      <w:r>
        <w:rPr>
          <w:rFonts w:eastAsia="仿宋_GB2312"/>
          <w:color w:val="000000"/>
          <w:kern w:val="0"/>
          <w:sz w:val="32"/>
          <w:szCs w:val="32"/>
        </w:rPr>
        <w:t>补交购房价款。</w:t>
      </w:r>
    </w:p>
    <w:p w14:paraId="0515C6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3.异地安置标准。根据不同安置住房用地等级给予相应的政策补助。标准如下：</w:t>
      </w:r>
    </w:p>
    <w:p w14:paraId="549C73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（1）在原居住地土地等级向异地同等级土地安置，同等面积调换。</w:t>
      </w:r>
    </w:p>
    <w:p w14:paraId="3535AF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（2）原居住地土地等级为一类土地的，在异地二类土地上安置，在补偿基础上增加10%，反之减少10%；在异地三类土地上安置，在补偿基础上增加20%；反之减少20%。</w:t>
      </w:r>
    </w:p>
    <w:p w14:paraId="281573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（3）原居住地土地等级为二类土地的，在异地三类土地上安置，在补偿基础上增加10%，反之减少10%。</w:t>
      </w:r>
    </w:p>
    <w:p w14:paraId="6FEC9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、安置办法</w:t>
      </w:r>
    </w:p>
    <w:p w14:paraId="7D4B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（一）乡镇依据《房屋征收与补偿安置协议》计算房屋征收补偿总价，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按照被征收人选择的安置方式直接补偿或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折算成安置面积后进行安置。</w:t>
      </w:r>
    </w:p>
    <w:p w14:paraId="4B2C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被征收人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签订先后顺序进行补偿。</w:t>
      </w:r>
    </w:p>
    <w:p w14:paraId="4DCCF5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十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房屋征收有关事项的处理</w:t>
      </w:r>
    </w:p>
    <w:p w14:paraId="2BB30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（一）严格按照双方签订的《房屋产权调换安置协议》选择住房。</w:t>
      </w:r>
    </w:p>
    <w:p w14:paraId="34F07EB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（二）征收范围内对无证的建筑物，由相关部门进行调查、认定和处理。对认定为合法建筑的，给予补偿；对认定为违法建筑的，不予补偿。</w:t>
      </w:r>
    </w:p>
    <w:p w14:paraId="239CFD4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被征收房屋存在租赁关系的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，不影响</w:t>
      </w:r>
      <w:r>
        <w:rPr>
          <w:rFonts w:hint="eastAsia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本次房屋征收项目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的实施。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承租人与被征收人（出租人）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因本次征收产生的任何纠纷均由双方按照合同约定进行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，房屋征收部门不承担房屋租赁所产生的任何经济和法律责任。</w:t>
      </w:r>
    </w:p>
    <w:p w14:paraId="3F234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（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）</w:t>
      </w:r>
      <w:r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  <w:t>房屋征收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评估费、拆迁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及垃圾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清运费等经费据实</w:t>
      </w:r>
      <w:r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  <w:t>结算。</w:t>
      </w:r>
    </w:p>
    <w:p w14:paraId="55614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）征收设有抵押权的房屋，抵押人与抵押权人应当依照国家有关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规定，就抵押权及其所担保债权的处理问题进行协商。抵押人和抵押权人协商一致的，房屋征收部门按照双方协议对被征收人给予补偿。达不成协议，房屋征收部门应当将补偿款向公证机关办理提存。</w:t>
      </w:r>
    </w:p>
    <w:p w14:paraId="4C14D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征收围墙、门房、大门、锅炉房、小煤房、树木等附属物的，不享受奖励政策。</w:t>
      </w:r>
    </w:p>
    <w:p w14:paraId="5CCE3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围墙、门房、大门、锅炉房、小煤房、树木等附属物的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补偿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以《中卫市人民政府关于印发中卫市土地及附着物征收补偿指导意见（试行）的通知》（卫政规发〔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2023〕1号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）规定的地上附着物补偿标准为依据。</w:t>
      </w:r>
    </w:p>
    <w:p w14:paraId="3B09E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十</w:t>
      </w:r>
      <w:r>
        <w:rPr>
          <w:rFonts w:hint="eastAsia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具体要求</w:t>
      </w:r>
    </w:p>
    <w:p w14:paraId="7D989FC5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房屋征收范围确定后，不得在房屋征收范围内实施新建、扩建、改建和改变房屋用途等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违反规定的不予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认定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补偿。</w:t>
      </w:r>
    </w:p>
    <w:p w14:paraId="6954FD6E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在本方案确定的签约期限内，达不成补偿安置协议的，由房屋征收部门报请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沙坡头区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人民政府按照本方案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出征收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偿决定。</w:t>
      </w:r>
    </w:p>
    <w:p w14:paraId="744E5E9A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本征收补偿方案仅适用于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沙坡头区农副产品1+X加工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区（西区）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房屋征收与补偿安置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56CE9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（四）本方案未尽事宜按有关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政策及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法律法规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执行。</w:t>
      </w:r>
    </w:p>
    <w:sectPr>
      <w:footerReference r:id="rId3" w:type="default"/>
      <w:pgSz w:w="11906" w:h="16838"/>
      <w:pgMar w:top="1984" w:right="1474" w:bottom="1757" w:left="1587" w:header="851" w:footer="1276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E400B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74307D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qUbFLO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QJnDlh6cEvP39cfv25/P7O&#10;lsmePmBFpx7DA0wZUpi0Di3Y9CUVbMiWnq+WqiEySZvL9Wq9LsltSbU5IZzi6XoAjPfKW5aCmgO9&#10;WbZSnD5iHI/OR1I349Lq/J02ZqymnSLRHImlKA77YWK7982ZJNLEE3jn4RtnPb13zR2NN2fmgyM7&#10;02jMAczBfg6Ek3Sx5pGzYwB96PIYJRoYbo+RqGSeqfHYbeJDb5aVTvOVhuJ5nk89/VP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l1uVLQAAAABQEAAA8AAAAAAAAAAQAgAAAAIgAAAGRycy9kb3du&#10;cmV2LnhtbFBLAQIUABQAAAAIAIdO4kDqlGxSzgEAAJs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4307D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zZhNWRjZjEzZWU5YWRjNjJkODRjOTExZWQwYmEifQ=="/>
  </w:docVars>
  <w:rsids>
    <w:rsidRoot w:val="00000000"/>
    <w:rsid w:val="0120059F"/>
    <w:rsid w:val="01F80A87"/>
    <w:rsid w:val="02F20CE1"/>
    <w:rsid w:val="066E468E"/>
    <w:rsid w:val="07A56E48"/>
    <w:rsid w:val="07EB69AE"/>
    <w:rsid w:val="094A66C0"/>
    <w:rsid w:val="09CF6571"/>
    <w:rsid w:val="0A7915BB"/>
    <w:rsid w:val="0A9826CA"/>
    <w:rsid w:val="0CB946E1"/>
    <w:rsid w:val="0F5E3A6B"/>
    <w:rsid w:val="119D44D0"/>
    <w:rsid w:val="19707ECA"/>
    <w:rsid w:val="1B7D4D21"/>
    <w:rsid w:val="1EFA4E47"/>
    <w:rsid w:val="20387A85"/>
    <w:rsid w:val="204038CD"/>
    <w:rsid w:val="22600256"/>
    <w:rsid w:val="28F02FEE"/>
    <w:rsid w:val="298520CB"/>
    <w:rsid w:val="2B7C0A42"/>
    <w:rsid w:val="3092683A"/>
    <w:rsid w:val="30F30FBD"/>
    <w:rsid w:val="361E16A1"/>
    <w:rsid w:val="36B370A9"/>
    <w:rsid w:val="3B0538D8"/>
    <w:rsid w:val="3BEB6A40"/>
    <w:rsid w:val="3EFB5D13"/>
    <w:rsid w:val="41002A32"/>
    <w:rsid w:val="452B429C"/>
    <w:rsid w:val="46A35479"/>
    <w:rsid w:val="476432A2"/>
    <w:rsid w:val="4AFD12B7"/>
    <w:rsid w:val="4B9F5B8D"/>
    <w:rsid w:val="4DBE37BE"/>
    <w:rsid w:val="4DC74C77"/>
    <w:rsid w:val="53430A03"/>
    <w:rsid w:val="589D2963"/>
    <w:rsid w:val="5BDBF655"/>
    <w:rsid w:val="5BF235F2"/>
    <w:rsid w:val="5EA44CE4"/>
    <w:rsid w:val="5EE50BC0"/>
    <w:rsid w:val="5F17047C"/>
    <w:rsid w:val="5FBFD28C"/>
    <w:rsid w:val="60831ABD"/>
    <w:rsid w:val="60B5679E"/>
    <w:rsid w:val="61333618"/>
    <w:rsid w:val="62A00BE3"/>
    <w:rsid w:val="643A5E7D"/>
    <w:rsid w:val="64AA6B34"/>
    <w:rsid w:val="652009CB"/>
    <w:rsid w:val="66DEFA61"/>
    <w:rsid w:val="6C13605D"/>
    <w:rsid w:val="6EE669C3"/>
    <w:rsid w:val="718154A9"/>
    <w:rsid w:val="74460499"/>
    <w:rsid w:val="752C57F5"/>
    <w:rsid w:val="770F1D08"/>
    <w:rsid w:val="780C14A2"/>
    <w:rsid w:val="7D42500E"/>
    <w:rsid w:val="7FE68871"/>
    <w:rsid w:val="7FF6EF9C"/>
    <w:rsid w:val="9F7769D9"/>
    <w:rsid w:val="B9BE4F3D"/>
    <w:rsid w:val="CBFFE605"/>
    <w:rsid w:val="CEFFB841"/>
    <w:rsid w:val="DE7FF935"/>
    <w:rsid w:val="DFB75C01"/>
    <w:rsid w:val="E3D21E23"/>
    <w:rsid w:val="E9EBED33"/>
    <w:rsid w:val="EBBF89C2"/>
    <w:rsid w:val="EC735675"/>
    <w:rsid w:val="F5EB5E72"/>
    <w:rsid w:val="FABFF53D"/>
    <w:rsid w:val="FBCEDF36"/>
    <w:rsid w:val="FBFEDA62"/>
    <w:rsid w:val="FCBEFF77"/>
    <w:rsid w:val="FCF7BA29"/>
    <w:rsid w:val="FDBFDB77"/>
    <w:rsid w:val="FDD949F3"/>
    <w:rsid w:val="FEAED256"/>
    <w:rsid w:val="FEEE16A0"/>
    <w:rsid w:val="FF9E3C2B"/>
    <w:rsid w:val="FFDF2A6C"/>
    <w:rsid w:val="FFDF3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line="240" w:lineRule="auto"/>
      <w:ind w:firstLine="420"/>
      <w:jc w:val="both"/>
      <w:textAlignment w:val="baseline"/>
    </w:pPr>
    <w:rPr>
      <w:rFonts w:ascii="Calibri" w:hAnsi="Calibri"/>
      <w:kern w:val="2"/>
      <w:sz w:val="28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3122</Words>
  <Characters>3226</Characters>
  <Paragraphs>91</Paragraphs>
  <TotalTime>11</TotalTime>
  <ScaleCrop>false</ScaleCrop>
  <LinksUpToDate>false</LinksUpToDate>
  <CharactersWithSpaces>3254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2020-05-16T09:54:00Z</dcterms:created>
  <dc:creator>北槿</dc:creator>
  <cp:lastModifiedBy>苦柚</cp:lastModifiedBy>
  <cp:lastPrinted>2025-03-24T07:13:00Z</cp:lastPrinted>
  <dcterms:modified xsi:type="dcterms:W3CDTF">2025-03-24T09:25:37Z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1BF2346A04A847A495D7AA45CD63D5C7_13</vt:lpwstr>
  </property>
  <property fmtid="{D5CDD505-2E9C-101B-9397-08002B2CF9AE}" pid="4" name="KSOTemplateDocerSaveRecord">
    <vt:lpwstr>eyJoZGlkIjoiNTQ5M2E1MThlOTBmNWNiMDQwYTUyOWQzNTY5YjgyNDgiLCJ1c2VySWQiOiIzNTg3OTU2MjcifQ==</vt:lpwstr>
  </property>
</Properties>
</file>