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eastAsia="zh-CN"/>
        </w:rPr>
        <w:t>中卫市</w:t>
      </w:r>
      <w:r>
        <w:rPr>
          <w:rFonts w:hint="eastAsia" w:ascii="Times New Roman" w:hAnsi="Times New Roman" w:eastAsia="方正小标宋_GBK" w:cs="Times New Roman"/>
          <w:sz w:val="44"/>
          <w:szCs w:val="44"/>
          <w:lang w:val="en-US" w:eastAsia="zh-CN"/>
        </w:rPr>
        <w:t>沙坡头区</w:t>
      </w:r>
      <w:r>
        <w:rPr>
          <w:rFonts w:hint="default" w:ascii="Times New Roman" w:hAnsi="Times New Roman" w:eastAsia="方正小标宋_GBK" w:cs="Times New Roman"/>
          <w:sz w:val="44"/>
          <w:szCs w:val="44"/>
        </w:rPr>
        <w:t>违法</w:t>
      </w:r>
      <w:r>
        <w:rPr>
          <w:rFonts w:hint="default" w:ascii="Times New Roman" w:hAnsi="Times New Roman" w:eastAsia="方正小标宋_GBK" w:cs="Times New Roman"/>
          <w:sz w:val="44"/>
          <w:szCs w:val="44"/>
          <w:lang w:eastAsia="zh-CN"/>
        </w:rPr>
        <w:t>占用或</w:t>
      </w:r>
      <w:r>
        <w:rPr>
          <w:rFonts w:hint="eastAsia" w:ascii="Times New Roman" w:hAnsi="Times New Roman" w:eastAsia="方正小标宋_GBK" w:cs="Times New Roman"/>
          <w:sz w:val="44"/>
          <w:szCs w:val="44"/>
          <w:lang w:eastAsia="zh-CN"/>
        </w:rPr>
        <w:t>破坏耕地</w:t>
      </w:r>
      <w:r>
        <w:rPr>
          <w:rFonts w:hint="default" w:ascii="Times New Roman" w:hAnsi="Times New Roman" w:eastAsia="方正小标宋_GBK" w:cs="Times New Roman"/>
          <w:sz w:val="44"/>
          <w:szCs w:val="44"/>
        </w:rPr>
        <w:t>举报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奖励办法（试行）</w:t>
      </w:r>
      <w:r>
        <w:rPr>
          <w:rFonts w:hint="default"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w:t>
      </w:r>
      <w:r>
        <w:rPr>
          <w:rFonts w:hint="default" w:ascii="Times New Roman" w:hAnsi="Times New Roman" w:eastAsia="方正小标宋_GBK" w:cs="Times New Roman"/>
          <w:sz w:val="44"/>
          <w:szCs w:val="44"/>
          <w:lang w:eastAsia="zh-CN"/>
        </w:rPr>
        <w:t>稿）</w:t>
      </w:r>
    </w:p>
    <w:bookmarkEnd w:id="0"/>
    <w:p>
      <w:pPr>
        <w:keepNext w:val="0"/>
        <w:keepLines w:val="0"/>
        <w:pageBreakBefore w:val="0"/>
        <w:kinsoku/>
        <w:wordWrap/>
        <w:overflowPunct/>
        <w:topLinePunct w:val="0"/>
        <w:autoSpaceDE/>
        <w:autoSpaceDN/>
        <w:bidi w:val="0"/>
        <w:adjustRightInd/>
        <w:snapToGrid/>
        <w:spacing w:line="580" w:lineRule="exact"/>
        <w:ind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为坚决遏制耕地“非农化”、</w:t>
      </w:r>
      <w:r>
        <w:rPr>
          <w:rFonts w:hint="eastAsia" w:ascii="Times New Roman" w:hAnsi="Times New Roman" w:eastAsia="仿宋_GB2312" w:cs="Times New Roman"/>
          <w:color w:val="auto"/>
          <w:sz w:val="32"/>
          <w:szCs w:val="32"/>
          <w:lang w:eastAsia="zh-CN"/>
        </w:rPr>
        <w:t>防止“非粮化</w:t>
      </w:r>
      <w:r>
        <w:rPr>
          <w:rFonts w:hint="default" w:ascii="Times New Roman" w:hAnsi="Times New Roman" w:eastAsia="仿宋_GB2312" w:cs="Times New Roman"/>
          <w:color w:val="auto"/>
          <w:sz w:val="32"/>
          <w:szCs w:val="32"/>
        </w:rPr>
        <w:t>”，严厉打击</w:t>
      </w:r>
      <w:r>
        <w:rPr>
          <w:rFonts w:hint="default" w:ascii="Times New Roman" w:hAnsi="Times New Roman" w:eastAsia="仿宋_GB2312" w:cs="Times New Roman"/>
          <w:color w:val="auto"/>
          <w:sz w:val="32"/>
          <w:szCs w:val="32"/>
          <w:lang w:eastAsia="zh-CN"/>
        </w:rPr>
        <w:t>违法占用或破坏耕地</w:t>
      </w:r>
      <w:r>
        <w:rPr>
          <w:rFonts w:hint="default" w:ascii="Times New Roman" w:hAnsi="Times New Roman" w:eastAsia="仿宋_GB2312" w:cs="Times New Roman"/>
          <w:color w:val="auto"/>
          <w:sz w:val="32"/>
          <w:szCs w:val="32"/>
        </w:rPr>
        <w:t>行为，鼓励社会公众参与耕地保护工作，及时发现</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纠正</w:t>
      </w:r>
      <w:r>
        <w:rPr>
          <w:rFonts w:hint="default" w:ascii="Times New Roman" w:hAnsi="Times New Roman" w:eastAsia="仿宋_GB2312" w:cs="Times New Roman"/>
          <w:color w:val="auto"/>
          <w:sz w:val="32"/>
          <w:szCs w:val="32"/>
          <w:lang w:eastAsia="zh-CN"/>
        </w:rPr>
        <w:t>违法占用或</w:t>
      </w:r>
      <w:r>
        <w:rPr>
          <w:rFonts w:hint="eastAsia" w:ascii="Times New Roman" w:hAnsi="Times New Roman" w:eastAsia="仿宋_GB2312" w:cs="Times New Roman"/>
          <w:color w:val="auto"/>
          <w:sz w:val="32"/>
          <w:szCs w:val="32"/>
          <w:lang w:eastAsia="zh-CN"/>
        </w:rPr>
        <w:t>破坏耕地行为</w:t>
      </w:r>
      <w:r>
        <w:rPr>
          <w:rFonts w:hint="default" w:ascii="Times New Roman" w:hAnsi="Times New Roman" w:eastAsia="仿宋_GB2312" w:cs="Times New Roman"/>
          <w:color w:val="auto"/>
          <w:sz w:val="32"/>
          <w:szCs w:val="32"/>
        </w:rPr>
        <w:t>，依据《中华人民共和国土地管理法》《中华人民共和国土地管理法实施条例》《宁夏回族自治区土地管理条例》等法律法规规定，结合</w:t>
      </w:r>
      <w:r>
        <w:rPr>
          <w:rFonts w:hint="eastAsia"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违法占用或</w:t>
      </w:r>
      <w:r>
        <w:rPr>
          <w:rFonts w:hint="eastAsia" w:ascii="Times New Roman" w:hAnsi="Times New Roman" w:eastAsia="仿宋_GB2312" w:cs="Times New Roman"/>
          <w:color w:val="auto"/>
          <w:sz w:val="32"/>
          <w:szCs w:val="32"/>
          <w:lang w:eastAsia="zh-CN"/>
        </w:rPr>
        <w:t>破坏耕地</w:t>
      </w:r>
      <w:r>
        <w:rPr>
          <w:rFonts w:hint="default" w:ascii="Times New Roman" w:hAnsi="Times New Roman" w:eastAsia="仿宋_GB2312" w:cs="Times New Roman"/>
          <w:color w:val="auto"/>
          <w:sz w:val="32"/>
          <w:szCs w:val="32"/>
        </w:rPr>
        <w:t>有奖举报应当遵循“实事求是、依法举报、属地管理”的原则，不得捏造、歪曲事实，不得诬告、陷害他人。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任何单位和个人（以下统称“举报人”）发现</w:t>
      </w:r>
      <w:r>
        <w:rPr>
          <w:rFonts w:hint="eastAsia"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eastAsia="zh-CN"/>
        </w:rPr>
        <w:t>辖区内违法占用或</w:t>
      </w:r>
      <w:r>
        <w:rPr>
          <w:rFonts w:hint="eastAsia" w:ascii="Times New Roman" w:hAnsi="Times New Roman" w:eastAsia="仿宋_GB2312" w:cs="Times New Roman"/>
          <w:color w:val="auto"/>
          <w:sz w:val="32"/>
          <w:szCs w:val="32"/>
          <w:lang w:eastAsia="zh-CN"/>
        </w:rPr>
        <w:t>破坏耕地的</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都有权向违法行为发生地的自然资源部门举报，也可以通过市政府服务热线</w:t>
      </w:r>
      <w:r>
        <w:rPr>
          <w:rFonts w:hint="eastAsia" w:ascii="Times New Roman" w:hAnsi="Times New Roman" w:eastAsia="仿宋_GB2312" w:cs="Times New Roman"/>
          <w:color w:val="auto"/>
          <w:sz w:val="32"/>
          <w:szCs w:val="32"/>
          <w:lang w:val="en-US" w:eastAsia="zh-CN"/>
        </w:rPr>
        <w:t>12345举报。自然资源部门对举报线索应当及时核实处置，属于信访事项的按照信访有关规定处理</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本办法所称违法占用或</w:t>
      </w:r>
      <w:r>
        <w:rPr>
          <w:rFonts w:hint="eastAsia" w:ascii="Times New Roman" w:hAnsi="Times New Roman" w:eastAsia="仿宋_GB2312" w:cs="Times New Roman"/>
          <w:color w:val="auto"/>
          <w:sz w:val="32"/>
          <w:szCs w:val="32"/>
          <w:lang w:eastAsia="zh-CN"/>
        </w:rPr>
        <w:t>破坏耕地</w:t>
      </w:r>
      <w:r>
        <w:rPr>
          <w:rFonts w:hint="default" w:ascii="Times New Roman" w:hAnsi="Times New Roman" w:eastAsia="仿宋_GB2312" w:cs="Times New Roman"/>
          <w:color w:val="auto"/>
          <w:sz w:val="32"/>
          <w:szCs w:val="32"/>
          <w:lang w:eastAsia="zh-CN"/>
        </w:rPr>
        <w:t>，是指违反《中华人民共和国土地管理法》《中华人民共和国土地管理法实施条例》《宁夏回族自治区土地管理条例》等法律法规</w:t>
      </w:r>
      <w:r>
        <w:rPr>
          <w:rFonts w:hint="eastAsia"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lang w:eastAsia="zh-CN"/>
        </w:rPr>
        <w:t>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eastAsia" w:ascii="Times New Roman" w:hAnsi="Times New Roman" w:eastAsia="仿宋_GB2312" w:cs="Times New Roman"/>
          <w:color w:val="auto"/>
          <w:sz w:val="32"/>
          <w:szCs w:val="32"/>
          <w:lang w:eastAsia="zh-CN"/>
        </w:rPr>
        <w:t>非法</w:t>
      </w:r>
      <w:r>
        <w:rPr>
          <w:rFonts w:hint="default" w:ascii="Times New Roman" w:hAnsi="Times New Roman" w:eastAsia="仿宋_GB2312" w:cs="Times New Roman"/>
          <w:color w:val="auto"/>
          <w:sz w:val="32"/>
          <w:szCs w:val="32"/>
          <w:lang w:eastAsia="zh-CN"/>
        </w:rPr>
        <w:t>占用耕地建窑、建坟或者擅自在耕地上</w:t>
      </w:r>
      <w:r>
        <w:rPr>
          <w:rFonts w:hint="eastAsia" w:ascii="Times New Roman" w:hAnsi="Times New Roman" w:eastAsia="仿宋_GB2312" w:cs="Times New Roman"/>
          <w:color w:val="auto"/>
          <w:sz w:val="32"/>
          <w:szCs w:val="32"/>
          <w:lang w:eastAsia="zh-CN"/>
        </w:rPr>
        <w:t>建房、</w:t>
      </w:r>
      <w:r>
        <w:rPr>
          <w:rFonts w:hint="default" w:ascii="Times New Roman" w:hAnsi="Times New Roman" w:eastAsia="仿宋_GB2312" w:cs="Times New Roman"/>
          <w:color w:val="auto"/>
          <w:sz w:val="32"/>
          <w:szCs w:val="32"/>
          <w:lang w:eastAsia="zh-CN"/>
        </w:rPr>
        <w:t>挖砂、采石、采矿、取土、堆放固体废弃物</w:t>
      </w:r>
      <w:r>
        <w:rPr>
          <w:rFonts w:hint="eastAsia" w:ascii="Times New Roman" w:hAnsi="Times New Roman" w:eastAsia="仿宋_GB2312" w:cs="Times New Roman"/>
          <w:color w:val="auto"/>
          <w:sz w:val="32"/>
          <w:szCs w:val="32"/>
          <w:lang w:eastAsia="zh-CN"/>
        </w:rPr>
        <w:t>或者进行其他非农业建设，</w:t>
      </w:r>
      <w:r>
        <w:rPr>
          <w:rFonts w:hint="default" w:ascii="Times New Roman" w:hAnsi="Times New Roman" w:eastAsia="仿宋_GB2312" w:cs="Times New Roman"/>
          <w:color w:val="auto"/>
          <w:sz w:val="32"/>
          <w:szCs w:val="32"/>
          <w:lang w:eastAsia="zh-CN"/>
        </w:rPr>
        <w:t>造成种植条件破坏的；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（二）非法占用一般耕地建猪舍、羊圈、牛棚、蓄水池、晾晒场等行为</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（三）非法占用永久基本农田从事林果业或者挖塘养鱼以及种植其他破坏耕作层作物行为的；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lang w:eastAsia="zh-CN"/>
        </w:rPr>
        <w:t>）未经批准擅自将一般耕地转为林地、草地、园地等其他农用地及农业设施建设用地的；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lang w:eastAsia="zh-CN"/>
        </w:rPr>
        <w:t>）违规占用耕地绿化造林、挖湖造景、超标准建设绿色通道；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）其他法律法规规定的违法占用或</w:t>
      </w:r>
      <w:r>
        <w:rPr>
          <w:rFonts w:hint="eastAsia" w:ascii="Times New Roman" w:hAnsi="Times New Roman" w:eastAsia="仿宋_GB2312" w:cs="Times New Roman"/>
          <w:color w:val="auto"/>
          <w:sz w:val="32"/>
          <w:szCs w:val="32"/>
          <w:lang w:eastAsia="zh-CN"/>
        </w:rPr>
        <w:t>破坏耕地行为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举报人举报时，</w:t>
      </w:r>
      <w:r>
        <w:rPr>
          <w:rFonts w:hint="eastAsia" w:ascii="Times New Roman" w:hAnsi="Times New Roman" w:eastAsia="仿宋_GB2312" w:cs="Times New Roman"/>
          <w:color w:val="auto"/>
          <w:sz w:val="32"/>
          <w:szCs w:val="32"/>
          <w:lang w:eastAsia="zh-CN"/>
        </w:rPr>
        <w:t>须提供所举报的违法线索发生地、违法主体、主要违法事实、证据材料等信息。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实行实名举报，举报人举报违法行为时须提供本人真实的姓名、身份证号及联系方式，以便进行回访及发放举报奖励。受理机构应当做好举报人相关信息的保密工作，不得以任何方式泄露举报人信息。受理和处理举报的工作人员与举报事实有利害关系的，应当回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对举报事项在调查核实后10个工作日内向举报人反馈核实情况。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举报奖励采取现金奖励。对经查实的举报事项，按照“属地举报、首次举报、属地奖励”的原则，实行首次举报奖励，同一事项不重复奖励，奖励标准如下：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（一）违法占用或破坏耕地面积</w:t>
      </w:r>
      <w:r>
        <w:rPr>
          <w:rFonts w:hint="eastAsia" w:ascii="Times New Roman" w:hAnsi="Times New Roman" w:eastAsia="仿宋_GB2312" w:cs="Times New Roman"/>
          <w:color w:val="auto"/>
          <w:sz w:val="32"/>
          <w:szCs w:val="32"/>
          <w:lang w:eastAsia="zh-CN"/>
        </w:rPr>
        <w:t>小于等于</w:t>
      </w:r>
      <w:r>
        <w:rPr>
          <w:rFonts w:hint="eastAsia" w:ascii="Times New Roman" w:hAnsi="Times New Roman" w:eastAsia="仿宋_GB2312" w:cs="Times New Roman"/>
          <w:color w:val="auto"/>
          <w:sz w:val="32"/>
          <w:szCs w:val="32"/>
          <w:lang w:val="en-US" w:eastAsia="zh-CN"/>
        </w:rPr>
        <w:t>10亩</w:t>
      </w:r>
      <w:r>
        <w:rPr>
          <w:rFonts w:hint="default" w:ascii="Times New Roman" w:hAnsi="Times New Roman" w:eastAsia="仿宋_GB2312" w:cs="Times New Roman"/>
          <w:color w:val="auto"/>
          <w:sz w:val="32"/>
          <w:szCs w:val="32"/>
          <w:lang w:eastAsia="zh-CN"/>
        </w:rPr>
        <w:t>，违法占用或破坏永久基本农田面积</w:t>
      </w:r>
      <w:r>
        <w:rPr>
          <w:rFonts w:hint="eastAsia" w:ascii="Times New Roman" w:hAnsi="Times New Roman" w:eastAsia="仿宋_GB2312" w:cs="Times New Roman"/>
          <w:color w:val="auto"/>
          <w:sz w:val="32"/>
          <w:szCs w:val="32"/>
          <w:lang w:eastAsia="zh-CN"/>
        </w:rPr>
        <w:t>小于等于</w:t>
      </w:r>
      <w:r>
        <w:rPr>
          <w:rFonts w:hint="eastAsia" w:ascii="Times New Roman" w:hAnsi="Times New Roman" w:eastAsia="仿宋_GB2312" w:cs="Times New Roman"/>
          <w:color w:val="auto"/>
          <w:sz w:val="32"/>
          <w:szCs w:val="32"/>
          <w:lang w:val="en-US" w:eastAsia="zh-CN"/>
        </w:rPr>
        <w:t>5亩</w:t>
      </w:r>
      <w:r>
        <w:rPr>
          <w:rFonts w:hint="default" w:ascii="Times New Roman" w:hAnsi="Times New Roman" w:eastAsia="仿宋_GB2312" w:cs="Times New Roman"/>
          <w:color w:val="auto"/>
          <w:sz w:val="32"/>
          <w:szCs w:val="32"/>
          <w:lang w:eastAsia="zh-CN"/>
        </w:rPr>
        <w:t>的，经核实，违法行为属实的，举报奖励每宗</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（二）违法占用或破坏耕地面积</w:t>
      </w:r>
      <w:r>
        <w:rPr>
          <w:rFonts w:hint="eastAsia" w:ascii="Times New Roman" w:hAnsi="Times New Roman" w:eastAsia="仿宋_GB2312" w:cs="Times New Roman"/>
          <w:color w:val="auto"/>
          <w:sz w:val="32"/>
          <w:szCs w:val="32"/>
          <w:lang w:eastAsia="zh-CN"/>
        </w:rPr>
        <w:t>大于</w:t>
      </w:r>
      <w:r>
        <w:rPr>
          <w:rFonts w:hint="default" w:ascii="Times New Roman" w:hAnsi="Times New Roman" w:eastAsia="仿宋_GB2312" w:cs="Times New Roman"/>
          <w:color w:val="auto"/>
          <w:sz w:val="32"/>
          <w:szCs w:val="32"/>
          <w:lang w:eastAsia="zh-CN"/>
        </w:rPr>
        <w:t>10亩，违法占用或破坏永久基本农田面积</w:t>
      </w:r>
      <w:r>
        <w:rPr>
          <w:rFonts w:hint="eastAsia" w:ascii="Times New Roman" w:hAnsi="Times New Roman" w:eastAsia="仿宋_GB2312" w:cs="Times New Roman"/>
          <w:color w:val="auto"/>
          <w:sz w:val="32"/>
          <w:szCs w:val="32"/>
          <w:lang w:eastAsia="zh-CN"/>
        </w:rPr>
        <w:t>大于</w:t>
      </w:r>
      <w:r>
        <w:rPr>
          <w:rFonts w:hint="default" w:ascii="Times New Roman" w:hAnsi="Times New Roman" w:eastAsia="仿宋_GB2312" w:cs="Times New Roman"/>
          <w:color w:val="auto"/>
          <w:sz w:val="32"/>
          <w:szCs w:val="32"/>
          <w:lang w:eastAsia="zh-CN"/>
        </w:rPr>
        <w:t>5亩的，经核实，违法行为属实的，举报奖励每宗</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lang w:eastAsia="zh-CN"/>
        </w:rPr>
        <w:t>元</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有下列情形之一的，举报不予受理：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（一）不属于违法占用或</w:t>
      </w:r>
      <w:r>
        <w:rPr>
          <w:rFonts w:hint="eastAsia" w:ascii="Times New Roman" w:hAnsi="Times New Roman" w:eastAsia="仿宋_GB2312" w:cs="Times New Roman"/>
          <w:color w:val="auto"/>
          <w:sz w:val="32"/>
          <w:szCs w:val="32"/>
          <w:lang w:val="en-US" w:eastAsia="zh-CN"/>
        </w:rPr>
        <w:t>破坏耕地</w:t>
      </w:r>
      <w:r>
        <w:rPr>
          <w:rFonts w:hint="default" w:ascii="Times New Roman" w:hAnsi="Times New Roman" w:eastAsia="仿宋_GB2312" w:cs="Times New Roman"/>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（二）举报对象不明确或举报事项基本信息不清的；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（三）已经受理或正在处理的违法行为；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（四）违法行为在本办法实施前已形成，未继续实施的；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（五）举报线索已被巡查发现的；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（六）其他不属于受理范围的举报事项。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有下列举报情形之一的，不予奖励：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（一）被举报线索经核查后不属于违法行为的；违法行为在被举报前已被查处的；违法行为人已主动消除违法用地状态的；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（二）举报线索已被相关耕地保护部门（单位）或耕地保护监管责任人监测或巡查发现且建立台账的；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）举报人与违法用地主体恶意串通进行举报</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）各级耕地保护监管责任人和自然资源系统工作人员举报相关违法违规行为的；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）其他不适用本奖励</w:t>
      </w:r>
      <w:r>
        <w:rPr>
          <w:rFonts w:hint="eastAsia"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en-US" w:eastAsia="zh-CN"/>
        </w:rPr>
        <w:t>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不予奖励</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，自然资源</w:t>
      </w:r>
      <w:r>
        <w:rPr>
          <w:rFonts w:hint="eastAsia" w:ascii="Times New Roman" w:hAnsi="Times New Roman" w:eastAsia="仿宋_GB2312" w:cs="Times New Roman"/>
          <w:color w:val="auto"/>
          <w:sz w:val="32"/>
          <w:szCs w:val="32"/>
          <w:lang w:val="en-US" w:eastAsia="zh-CN"/>
        </w:rPr>
        <w:t>部门应当告知举报人</w:t>
      </w:r>
      <w:r>
        <w:rPr>
          <w:rFonts w:hint="default" w:ascii="Times New Roman" w:hAnsi="Times New Roman" w:eastAsia="仿宋_GB2312" w:cs="Times New Roman"/>
          <w:color w:val="auto"/>
          <w:sz w:val="32"/>
          <w:szCs w:val="32"/>
          <w:lang w:val="en-US" w:eastAsia="zh-CN"/>
        </w:rPr>
        <w:t>不予奖励的理由</w:t>
      </w:r>
      <w:r>
        <w:rPr>
          <w:rFonts w:hint="eastAsia" w:ascii="Times New Roman" w:hAnsi="Times New Roman" w:eastAsia="仿宋_GB2312" w:cs="Times New Roman"/>
          <w:color w:val="auto"/>
          <w:sz w:val="32"/>
          <w:szCs w:val="32"/>
          <w:lang w:val="en-US" w:eastAsia="zh-CN"/>
        </w:rPr>
        <w:t>（恶意串通举报的除外）。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同一违法行为出现多人分别举报的，只奖励举报在先的举报人(以受理台账登记时间为准)；举报人联名举报同一案件的，需明确联名举报代表，由举报代表领取奖励，奖金由联名举报人自行分配。一个举报涉及两种或两种以上违法行为，分别立案查处的，按各案件违法行为举报奖励标准的最高标准进行奖励，不重复进行计算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查证属实的举报，举报人应在接到自然资源部门的奖励通知之日起3个月内，由本人或委托他人凭有效身份证件到指定地点领取奖金。无正当理由逾期未领取的，视为举报人放弃奖励。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举报人与被举报人勾结、虚构事实、伪造身份等方式骗取奖金的，依法追究相关人员责任；构成犯罪的，移送司法机关追究刑事责任。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区自然资源部门接到</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eastAsia="zh-CN"/>
        </w:rPr>
        <w:t>案件线索后，要从快从严核查处置，严厉打击违法占用或</w:t>
      </w:r>
      <w:r>
        <w:rPr>
          <w:rFonts w:hint="eastAsia" w:ascii="Times New Roman" w:hAnsi="Times New Roman" w:eastAsia="仿宋_GB2312" w:cs="Times New Roman"/>
          <w:color w:val="auto"/>
          <w:sz w:val="32"/>
          <w:szCs w:val="32"/>
          <w:lang w:eastAsia="zh-CN"/>
        </w:rPr>
        <w:t>破坏耕地</w:t>
      </w:r>
      <w:r>
        <w:rPr>
          <w:rFonts w:hint="default" w:ascii="Times New Roman" w:hAnsi="Times New Roman" w:eastAsia="仿宋_GB2312" w:cs="Times New Roman"/>
          <w:color w:val="auto"/>
          <w:sz w:val="32"/>
          <w:szCs w:val="32"/>
          <w:lang w:eastAsia="zh-CN"/>
        </w:rPr>
        <w:t>，对涉嫌犯罪的要移交司法机关处置。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xml:space="preserve"> </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奖励资金由区级财政予以保障，区级自然资源局负责奖励资金审核发放。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eastAsia"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本办法最终解释由中卫市</w:t>
      </w:r>
      <w:r>
        <w:rPr>
          <w:rFonts w:hint="eastAsia"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eastAsia="zh-CN"/>
        </w:rPr>
        <w:t>人民政府办公室负责，具体解释由中卫市</w:t>
      </w:r>
      <w:r>
        <w:rPr>
          <w:rFonts w:hint="eastAsia"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eastAsia="zh-CN"/>
        </w:rPr>
        <w:t>自然资源局承担。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eastAsia" w:cs="Times New Roman"/>
          <w:b/>
          <w:bCs/>
          <w:color w:val="auto"/>
          <w:sz w:val="32"/>
          <w:szCs w:val="32"/>
          <w:lang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本办法自</w:t>
      </w:r>
      <w:r>
        <w:rPr>
          <w:rFonts w:hint="default" w:ascii="Times New Roman" w:hAnsi="Times New Roman"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lang w:eastAsia="zh-CN"/>
        </w:rPr>
        <w:t>起，有效期至</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80" w:lineRule="exact"/>
        <w:jc w:val="both"/>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附件：中卫市违法占用或</w:t>
      </w:r>
      <w:r>
        <w:rPr>
          <w:rFonts w:hint="eastAsia" w:ascii="Times New Roman" w:hAnsi="Times New Roman" w:eastAsia="仿宋_GB2312" w:cs="Times New Roman"/>
          <w:color w:val="auto"/>
          <w:sz w:val="32"/>
          <w:szCs w:val="32"/>
          <w:lang w:val="en-US" w:eastAsia="zh-CN"/>
        </w:rPr>
        <w:t>破坏耕地</w:t>
      </w:r>
      <w:r>
        <w:rPr>
          <w:rFonts w:hint="default" w:ascii="Times New Roman" w:hAnsi="Times New Roman" w:eastAsia="仿宋_GB2312" w:cs="Times New Roman"/>
          <w:color w:val="auto"/>
          <w:sz w:val="32"/>
          <w:szCs w:val="32"/>
          <w:lang w:val="en-US" w:eastAsia="zh-CN"/>
        </w:rPr>
        <w:t>举报方式</w:t>
      </w: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ind w:left="0" w:leftChars="0" w:firstLine="0" w:firstLineChars="0"/>
        <w:jc w:val="both"/>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sectPr>
          <w:footerReference r:id="rId3" w:type="default"/>
          <w:pgSz w:w="11906" w:h="16838"/>
          <w:pgMar w:top="1984" w:right="1474" w:bottom="1757" w:left="1587" w:header="851" w:footer="992" w:gutter="0"/>
          <w:pgNumType w:fmt="numberInDash"/>
          <w:cols w:space="425" w:num="1"/>
          <w:docGrid w:type="lines" w:linePitch="312" w:charSpace="0"/>
        </w:sectPr>
      </w:pPr>
    </w:p>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中卫市</w:t>
      </w:r>
      <w:r>
        <w:rPr>
          <w:rFonts w:hint="eastAsia" w:ascii="方正小标宋_GBK" w:hAnsi="方正小标宋_GBK" w:eastAsia="方正小标宋_GBK" w:cs="方正小标宋_GBK"/>
          <w:sz w:val="44"/>
          <w:szCs w:val="44"/>
          <w:lang w:val="en-US" w:eastAsia="zh-CN"/>
        </w:rPr>
        <w:t>沙坡头区</w:t>
      </w:r>
      <w:r>
        <w:rPr>
          <w:rFonts w:hint="eastAsia" w:ascii="方正小标宋_GBK" w:hAnsi="方正小标宋_GBK" w:eastAsia="方正小标宋_GBK" w:cs="方正小标宋_GBK"/>
          <w:sz w:val="44"/>
          <w:szCs w:val="44"/>
          <w:lang w:eastAsia="zh-CN"/>
        </w:rPr>
        <w:t>违法占用或破坏耕地举报方式</w:t>
      </w:r>
    </w:p>
    <w:p>
      <w:pPr>
        <w:pStyle w:val="2"/>
        <w:rPr>
          <w:rFonts w:hint="eastAsia"/>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490"/>
        <w:gridCol w:w="1995"/>
        <w:gridCol w:w="2400"/>
        <w:gridCol w:w="324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8" w:type="dxa"/>
            <w:vAlign w:val="center"/>
          </w:tcPr>
          <w:p>
            <w:pPr>
              <w:pStyle w:val="2"/>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490" w:type="dxa"/>
            <w:vAlign w:val="center"/>
          </w:tcPr>
          <w:p>
            <w:pPr>
              <w:pStyle w:val="2"/>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单位</w:t>
            </w:r>
          </w:p>
        </w:tc>
        <w:tc>
          <w:tcPr>
            <w:tcW w:w="1995" w:type="dxa"/>
            <w:vAlign w:val="center"/>
          </w:tcPr>
          <w:p>
            <w:pPr>
              <w:pStyle w:val="2"/>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举报电话</w:t>
            </w:r>
          </w:p>
        </w:tc>
        <w:tc>
          <w:tcPr>
            <w:tcW w:w="2400" w:type="dxa"/>
            <w:vAlign w:val="center"/>
          </w:tcPr>
          <w:p>
            <w:pPr>
              <w:pStyle w:val="2"/>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举报邮箱</w:t>
            </w:r>
          </w:p>
        </w:tc>
        <w:tc>
          <w:tcPr>
            <w:tcW w:w="3240" w:type="dxa"/>
            <w:vAlign w:val="center"/>
          </w:tcPr>
          <w:p>
            <w:pPr>
              <w:pStyle w:val="2"/>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举报地址</w:t>
            </w:r>
          </w:p>
        </w:tc>
        <w:tc>
          <w:tcPr>
            <w:tcW w:w="1840" w:type="dxa"/>
            <w:vAlign w:val="center"/>
          </w:tcPr>
          <w:p>
            <w:pPr>
              <w:pStyle w:val="2"/>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8" w:type="dxa"/>
            <w:vAlign w:val="center"/>
          </w:tcPr>
          <w:p>
            <w:pPr>
              <w:pStyle w:val="2"/>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2490" w:type="dxa"/>
            <w:vAlign w:val="center"/>
          </w:tcPr>
          <w:p>
            <w:pPr>
              <w:pStyle w:val="2"/>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中卫市沙坡头区自然资源局</w:t>
            </w:r>
          </w:p>
        </w:tc>
        <w:tc>
          <w:tcPr>
            <w:tcW w:w="1995" w:type="dxa"/>
            <w:vAlign w:val="center"/>
          </w:tcPr>
          <w:p>
            <w:pPr>
              <w:pStyle w:val="2"/>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28"/>
                <w:szCs w:val="28"/>
                <w:vertAlign w:val="baseline"/>
                <w:lang w:val="en-US" w:eastAsia="zh-CN"/>
              </w:rPr>
              <w:t>0955-8812769</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zwssptqzrzyj@</w:t>
            </w:r>
          </w:p>
          <w:p>
            <w:pPr>
              <w:pStyle w:val="2"/>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lang w:val="en-US" w:eastAsia="zh-CN"/>
              </w:rPr>
              <w:t>163.com</w:t>
            </w:r>
          </w:p>
        </w:tc>
        <w:tc>
          <w:tcPr>
            <w:tcW w:w="3240" w:type="dxa"/>
            <w:vAlign w:val="center"/>
          </w:tcPr>
          <w:p>
            <w:pPr>
              <w:pStyle w:val="2"/>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lang w:val="en-US" w:eastAsia="zh-CN"/>
              </w:rPr>
              <w:t>中卫市沙坡头区平安东路21号6楼616室</w:t>
            </w:r>
          </w:p>
        </w:tc>
        <w:tc>
          <w:tcPr>
            <w:tcW w:w="1840" w:type="dxa"/>
            <w:vAlign w:val="center"/>
          </w:tcPr>
          <w:p>
            <w:pPr>
              <w:pStyle w:val="2"/>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8" w:type="dxa"/>
            <w:vAlign w:val="center"/>
          </w:tcPr>
          <w:p>
            <w:pPr>
              <w:pStyle w:val="2"/>
              <w:jc w:val="center"/>
              <w:rPr>
                <w:rFonts w:hint="default" w:ascii="Times New Roman" w:hAnsi="Times New Roman" w:eastAsia="仿宋_GB2312" w:cs="Times New Roman"/>
                <w:sz w:val="32"/>
                <w:szCs w:val="32"/>
                <w:vertAlign w:val="baseline"/>
                <w:lang w:val="en-US" w:eastAsia="zh-CN"/>
              </w:rPr>
            </w:pPr>
          </w:p>
        </w:tc>
        <w:tc>
          <w:tcPr>
            <w:tcW w:w="2490" w:type="dxa"/>
            <w:vAlign w:val="center"/>
          </w:tcPr>
          <w:p>
            <w:pPr>
              <w:pStyle w:val="2"/>
              <w:jc w:val="center"/>
              <w:rPr>
                <w:rFonts w:hint="default" w:ascii="Times New Roman" w:hAnsi="Times New Roman" w:eastAsia="仿宋_GB2312" w:cs="Times New Roman"/>
                <w:sz w:val="32"/>
                <w:szCs w:val="32"/>
                <w:vertAlign w:val="baseline"/>
                <w:lang w:eastAsia="zh-CN"/>
              </w:rPr>
            </w:pPr>
          </w:p>
        </w:tc>
        <w:tc>
          <w:tcPr>
            <w:tcW w:w="1995" w:type="dxa"/>
            <w:vAlign w:val="center"/>
          </w:tcPr>
          <w:p>
            <w:pPr>
              <w:pStyle w:val="2"/>
              <w:jc w:val="center"/>
              <w:rPr>
                <w:rFonts w:hint="default" w:ascii="Times New Roman" w:hAnsi="Times New Roman" w:eastAsia="仿宋_GB2312" w:cs="Times New Roman"/>
                <w:sz w:val="32"/>
                <w:szCs w:val="32"/>
                <w:vertAlign w:val="baseline"/>
                <w:lang w:eastAsia="zh-CN"/>
              </w:rPr>
            </w:pPr>
          </w:p>
        </w:tc>
        <w:tc>
          <w:tcPr>
            <w:tcW w:w="2400" w:type="dxa"/>
            <w:vAlign w:val="center"/>
          </w:tcPr>
          <w:p>
            <w:pPr>
              <w:pStyle w:val="2"/>
              <w:jc w:val="center"/>
              <w:rPr>
                <w:rFonts w:hint="default" w:ascii="Times New Roman" w:hAnsi="Times New Roman" w:eastAsia="仿宋_GB2312" w:cs="Times New Roman"/>
                <w:sz w:val="32"/>
                <w:szCs w:val="32"/>
                <w:vertAlign w:val="baseline"/>
                <w:lang w:eastAsia="zh-CN"/>
              </w:rPr>
            </w:pPr>
          </w:p>
        </w:tc>
        <w:tc>
          <w:tcPr>
            <w:tcW w:w="3240" w:type="dxa"/>
            <w:vAlign w:val="center"/>
          </w:tcPr>
          <w:p>
            <w:pPr>
              <w:pStyle w:val="2"/>
              <w:jc w:val="center"/>
              <w:rPr>
                <w:rFonts w:hint="default" w:ascii="Times New Roman" w:hAnsi="Times New Roman" w:eastAsia="仿宋_GB2312" w:cs="Times New Roman"/>
                <w:sz w:val="32"/>
                <w:szCs w:val="32"/>
                <w:vertAlign w:val="baseline"/>
                <w:lang w:eastAsia="zh-CN"/>
              </w:rPr>
            </w:pPr>
          </w:p>
        </w:tc>
        <w:tc>
          <w:tcPr>
            <w:tcW w:w="1840" w:type="dxa"/>
            <w:vAlign w:val="center"/>
          </w:tcPr>
          <w:p>
            <w:pPr>
              <w:pStyle w:val="2"/>
              <w:jc w:val="center"/>
              <w:rPr>
                <w:rFonts w:hint="default" w:ascii="Times New Roman" w:hAnsi="Times New Roman" w:eastAsia="仿宋_GB2312" w:cs="Times New Roman"/>
                <w:sz w:val="32"/>
                <w:szCs w:val="32"/>
                <w:vertAlign w:val="baseline"/>
                <w:lang w:eastAsia="zh-CN"/>
              </w:rPr>
            </w:pPr>
          </w:p>
        </w:tc>
      </w:tr>
    </w:tbl>
    <w:p>
      <w:pPr>
        <w:pStyle w:val="2"/>
        <w:jc w:val="both"/>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仿宋_GB2312"/>
          <w:sz w:val="30"/>
          <w:szCs w:val="30"/>
          <w:lang w:val="en-US" w:eastAsia="zh-CN"/>
        </w:rPr>
        <w:sectPr>
          <w:pgSz w:w="16838" w:h="11906" w:orient="landscape"/>
          <w:pgMar w:top="1587" w:right="1984" w:bottom="1474" w:left="175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eastAsia" w:ascii="仿宋_GB2312" w:hAnsi="仿宋_GB2312" w:eastAsia="仿宋_GB2312" w:cs="仿宋_GB2312"/>
          <w:sz w:val="32"/>
          <w:szCs w:val="32"/>
          <w:lang w:val="en-US" w:eastAsia="zh-CN"/>
        </w:rPr>
      </w:pPr>
    </w:p>
    <w:sectPr>
      <w:pgSz w:w="11906" w:h="16838"/>
      <w:pgMar w:top="1984" w:right="1474" w:bottom="175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73EF4A-BD67-41C1-8343-B40BDF9E25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AE5E58-B4CC-4B38-AB95-6C60F7242CB8}"/>
  </w:font>
  <w:font w:name="PMingLiUfalt">
    <w:altName w:val="Segoe Print"/>
    <w:panose1 w:val="00000000000000000000"/>
    <w:charset w:val="00"/>
    <w:family w:val="roman"/>
    <w:pitch w:val="default"/>
    <w:sig w:usb0="00000000" w:usb1="00000000" w:usb2="00000010" w:usb3="00000000" w:csb0="00100000" w:csb1="00000000"/>
  </w:font>
  <w:font w:name="方正小标宋_GBK">
    <w:panose1 w:val="03000509000000000000"/>
    <w:charset w:val="86"/>
    <w:family w:val="auto"/>
    <w:pitch w:val="default"/>
    <w:sig w:usb0="00000001" w:usb1="080E0000" w:usb2="00000000" w:usb3="00000000" w:csb0="00040000" w:csb1="00000000"/>
    <w:embedRegular r:id="rId3" w:fontKey="{EBD65CC8-8CBA-4649-B7B5-89E1FF2E97B3}"/>
  </w:font>
  <w:font w:name="仿宋_GB2312">
    <w:panose1 w:val="02010609030101010101"/>
    <w:charset w:val="86"/>
    <w:family w:val="modern"/>
    <w:pitch w:val="default"/>
    <w:sig w:usb0="00000001" w:usb1="080E0000" w:usb2="00000000" w:usb3="00000000" w:csb0="00040000" w:csb1="00000000"/>
    <w:embedRegular r:id="rId4" w:fontKey="{EACEA00A-A9EA-432B-8017-D06119475D0B}"/>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WM0YWNhZDZmODQxMjlkMGNmMjVlNmExMDFkNzUifQ=="/>
  </w:docVars>
  <w:rsids>
    <w:rsidRoot w:val="00000000"/>
    <w:rsid w:val="45C102F7"/>
    <w:rsid w:val="51AA6A48"/>
    <w:rsid w:val="70CE3245"/>
    <w:rsid w:val="70FD4978"/>
    <w:rsid w:val="78B2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2"/>
    <w:qFormat/>
    <w:uiPriority w:val="0"/>
    <w:pPr>
      <w:ind w:firstLine="200" w:firstLineChars="200"/>
    </w:pPr>
  </w:style>
  <w:style w:type="paragraph" w:styleId="4">
    <w:name w:val="Body Text Indent"/>
    <w:basedOn w:val="1"/>
    <w:next w:val="5"/>
    <w:qFormat/>
    <w:uiPriority w:val="0"/>
    <w:pPr>
      <w:spacing w:after="120"/>
      <w:ind w:left="420" w:leftChars="200"/>
    </w:pPr>
    <w:rPr>
      <w:rFonts w:ascii="Calibri" w:hAnsi="Calibri" w:eastAsia="Calibri" w:cs="Times New Roman"/>
      <w:kern w:val="0"/>
      <w:sz w:val="20"/>
    </w:rPr>
  </w:style>
  <w:style w:type="paragraph" w:styleId="5">
    <w:name w:val="footnote text"/>
    <w:basedOn w:val="1"/>
    <w:semiHidden/>
    <w:qFormat/>
    <w:uiPriority w:val="99"/>
    <w:pPr>
      <w:jc w:val="left"/>
    </w:pPr>
    <w:rPr>
      <w:rFonts w:ascii="Times New Roman" w:hAnsi="Times New Roman" w:eastAsia="PMingLiUfalt" w:cs="Times New Roman"/>
      <w:color w:val="000000"/>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Body Text First Indent 2"/>
    <w:basedOn w:val="4"/>
    <w:next w:val="3"/>
    <w:qFormat/>
    <w:uiPriority w:val="0"/>
    <w:pPr>
      <w:ind w:firstLine="420" w:firstLineChars="200"/>
    </w:pPr>
    <w:rPr>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2023-11-29T00:47:00Z</dcterms:created>
  <dc:creator>Administrator</dc:creator>
  <cp:lastModifiedBy>￥</cp:lastModifiedBy>
  <dcterms:modified xsi:type="dcterms:W3CDTF">2023-12-01T09:20:48Z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E3899776460648C391672F9DB5791C82_13</vt:lpwstr>
  </property>
</Properties>
</file>