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1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关于对《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中卫市沙坡头区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人民政府行政应诉工作办法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4" w:firstLineChars="45"/>
        <w:jc w:val="both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4" w:firstLineChars="45"/>
        <w:jc w:val="center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中卫市沙坡头区司法局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日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现将《中卫市沙坡头区人民政府行政应诉工作办法》（以下简称《办法》）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的有关情况说明如下：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制定《办法》的必要性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中卫市沙坡头区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人民政府在行政诉讼活动中的应诉工作，提高行政应诉水平，促进依法行政，根据《中华人民共和国行政诉讼法》《中华人民共和国行政复议法》《国务院办公厅关于加强和改进行政应诉工作的意见》（国办发〔</w:t>
      </w:r>
      <w:r>
        <w:rPr>
          <w:rFonts w:hint="eastAsia" w:ascii="Times New Roman" w:hAnsi="Times New Roman" w:eastAsia="楷体" w:cs="Times New Roman"/>
          <w:kern w:val="2"/>
          <w:sz w:val="32"/>
          <w:szCs w:val="32"/>
          <w:lang w:val="en-US" w:eastAsia="zh-CN" w:bidi="ar-SA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Times New Roman" w:hAnsi="Times New Roman" w:eastAsia="楷体" w:cs="Times New Roman"/>
          <w:kern w:val="2"/>
          <w:sz w:val="32"/>
          <w:szCs w:val="32"/>
          <w:lang w:val="en-US" w:eastAsia="zh-CN" w:bidi="ar-SA"/>
        </w:rPr>
        <w:t>54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号）等法律法规规定，结合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沙坡头区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二、起草</w:t>
      </w:r>
      <w:r>
        <w:rPr>
          <w:rFonts w:hint="eastAsia" w:ascii="黑体" w:hAnsi="黑体" w:eastAsia="黑体" w:cs="黑体"/>
          <w:sz w:val="32"/>
          <w:szCs w:val="32"/>
        </w:rPr>
        <w:t>依据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和起草过程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2" w:firstLineChars="200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（一）起草依据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Times New Roman" w:hAnsi="Times New Roman" w:eastAsia="楷体" w:cs="Times New Roman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《中华人民共和国行政诉讼法》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Times New Roman" w:hAnsi="Times New Roman" w:eastAsia="楷体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《中华人民共和国行政复议法》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Times New Roman" w:hAnsi="Times New Roman" w:eastAsia="楷体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《国务院办公厅关于加强和改进行政应诉工作的意见》（国办发〔</w:t>
      </w:r>
      <w:r>
        <w:rPr>
          <w:rFonts w:hint="eastAsia" w:ascii="Times New Roman" w:hAnsi="Times New Roman" w:eastAsia="楷体" w:cs="Times New Roman"/>
          <w:kern w:val="2"/>
          <w:sz w:val="32"/>
          <w:szCs w:val="32"/>
          <w:lang w:val="en-US" w:eastAsia="zh-CN" w:bidi="ar-SA"/>
        </w:rPr>
        <w:t>2016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〕</w:t>
      </w:r>
      <w:r>
        <w:rPr>
          <w:rFonts w:hint="eastAsia" w:ascii="Times New Roman" w:hAnsi="Times New Roman" w:eastAsia="楷体" w:cs="Times New Roman"/>
          <w:kern w:val="2"/>
          <w:sz w:val="32"/>
          <w:szCs w:val="32"/>
          <w:lang w:val="en-US" w:eastAsia="zh-CN" w:bidi="ar-SA"/>
        </w:rPr>
        <w:t>54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.《中华人民共和国国家赔偿法》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jc w:val="both"/>
        <w:textAlignment w:val="auto"/>
        <w:rPr>
          <w:rFonts w:hint="eastAsia" w:ascii="楷体" w:hAnsi="楷体" w:eastAsia="楷体" w:cs="楷体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 w:val="0"/>
          <w:kern w:val="2"/>
          <w:sz w:val="32"/>
          <w:szCs w:val="32"/>
          <w:lang w:val="en-US" w:eastAsia="zh-CN" w:bidi="ar-SA"/>
        </w:rPr>
        <w:t>（二）起草过程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为进一步规范沙坡头区行政应诉工作，提高行政机关负责人出庭应诉率、降低败诉率，区司法局根据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《国务院办公厅关于加强和改进行政应诉工作的意见》（国办发〔</w:t>
      </w:r>
      <w:r>
        <w:rPr>
          <w:rFonts w:hint="eastAsia" w:ascii="Times New Roman" w:hAnsi="Times New Roman" w:eastAsia="楷体" w:cs="Times New Roman"/>
          <w:kern w:val="2"/>
          <w:sz w:val="32"/>
          <w:szCs w:val="32"/>
          <w:lang w:val="en-US" w:eastAsia="zh-CN" w:bidi="ar-SA"/>
        </w:rPr>
        <w:t>2016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〕</w:t>
      </w:r>
      <w:r>
        <w:rPr>
          <w:rFonts w:hint="eastAsia" w:ascii="Times New Roman" w:hAnsi="Times New Roman" w:eastAsia="楷体" w:cs="Times New Roman"/>
          <w:kern w:val="2"/>
          <w:sz w:val="32"/>
          <w:szCs w:val="32"/>
          <w:lang w:val="en-US" w:eastAsia="zh-CN" w:bidi="ar-SA"/>
        </w:rPr>
        <w:t>54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号）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起草了《中卫市沙坡头区人民政府行政应诉工作办法（草案）》。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三、草案的征求意见和协调情况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2021年12月1日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区司法局下发《关于征求〈沙坡头区人民政府行政应诉工作办法（征求意见稿）〉意见建议的函》，向各乡镇、各相关部门（单位）征求已经，经反馈，均无修改意见。2022年1月14日至1月23日，在沙坡头区人民政府网站公开征求意见，其间，无个人、法人或其他组织反馈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《办法（送审稿）》共二十六条。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第一条明确了制定目的和依据。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第二条明确了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行政应诉工作的概念。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第三条明确了行政应诉工作的组织领导。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第四条明确了行政应诉工作的承办单位及具体要求。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第五条规定了</w:t>
      </w:r>
      <w:r>
        <w:rPr>
          <w:rFonts w:hint="eastAsia" w:ascii="仿宋_GB2312" w:hAnsi="仿宋_GB2312" w:eastAsia="仿宋_GB2312" w:cs="仿宋_GB2312"/>
          <w:sz w:val="32"/>
          <w:szCs w:val="32"/>
        </w:rPr>
        <w:t>应诉事务承办单位应当通过中卫市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沙坡头区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法律顾问室指派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政府法律顾问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协助办理行政应诉事务。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4" w:firstLineChars="200"/>
        <w:textAlignment w:val="auto"/>
        <w:outlineLvl w:val="9"/>
        <w:rPr>
          <w:rFonts w:hint="eastAsia" w:ascii="仿宋_GB2312" w:hAnsi="仿宋_GB2312" w:eastAsia="仿宋_GB2312" w:cs="仿宋_GB2312"/>
          <w:w w:val="9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>第六条规定了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>应诉事务承办单位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eastAsia="zh-CN"/>
        </w:rPr>
        <w:t>履行应诉职责前的准备工作。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第七条、第八条、第九条规定了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行政机关负责人应当按照《中华人民共和国行政诉讼法》的规定出庭应诉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及具体要求。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第十条、第十一条规定了行政应诉案件流转及办理程序。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第十二条规定了行政诉讼案件败诉后的处理程序。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第十四条规定了出现上诉情形的处理程序。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第十五条规定了出现再审情形的处理程序。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第十六条规定了出现</w:t>
      </w:r>
      <w:r>
        <w:rPr>
          <w:rFonts w:hint="eastAsia" w:ascii="仿宋_GB2312" w:hAnsi="仿宋_GB2312" w:eastAsia="仿宋_GB2312" w:cs="仿宋_GB2312"/>
          <w:sz w:val="32"/>
          <w:szCs w:val="32"/>
        </w:rPr>
        <w:t>拒绝履行人民法院发生法律效力的判决或者裁定的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处理程序。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第十七条规定了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人民政府发送的司法建议书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后的处理程序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第十八条规定了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行政诉讼案件终结后，应诉事务承办单位应当按照档案管理相关规定立卷归档。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第十九条规定了区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人民政府将行政应诉工作职责情况纳入年度法治政府建设情况报告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第二十条规定了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建立行政机关负责人及工作人员出庭应诉、履行人民法院生效判决、反馈人民法院司法建议、旁听庭审和工作通报等制度。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第二十一条规定了区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司法局应当加强对行政应诉工作人员的业务培训，提高行政应诉工作人员的业务素质和应诉能力。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第二十二条规定了违反本办法应追责的情形。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第二十三条规定了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行政机关在行政应诉中因故意或失职导致国家赔偿的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追偿程序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第二十四条规定了经费保障。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第二十五条规定了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人民政府为被申请人的行政复议案件，参照本办法执行。各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各行政机关作为被告（被申请人）的行政应诉（行政复议）案件，相关应诉规定参照本办法执行。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第二十六条规定了办法的生效日期。</w:t>
      </w:r>
    </w:p>
    <w:p>
      <w:pPr>
        <w:keepNext w:val="0"/>
        <w:keepLines w:val="0"/>
        <w:pageBreakBefore w:val="0"/>
        <w:tabs>
          <w:tab w:val="left" w:pos="663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left"/>
        <w:textAlignment w:val="auto"/>
        <w:rPr>
          <w:lang w:val="en-US" w:eastAsia="zh-CN"/>
        </w:rPr>
      </w:pPr>
    </w:p>
    <w:sectPr>
      <w:footerReference r:id="rId3" w:type="default"/>
      <w:pgSz w:w="11906" w:h="16838"/>
      <w:pgMar w:top="1440" w:right="1474" w:bottom="124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3B2BAF"/>
    <w:multiLevelType w:val="singleLevel"/>
    <w:tmpl w:val="8A3B2B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5D02B5"/>
    <w:multiLevelType w:val="singleLevel"/>
    <w:tmpl w:val="EB5D02B5"/>
    <w:lvl w:ilvl="0" w:tentative="0">
      <w:start w:val="13"/>
      <w:numFmt w:val="chineseCounting"/>
      <w:suff w:val="nothing"/>
      <w:lvlText w:val="第%1条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0OTZiYTU2OTRmMjQ4YjI5YzVjYjBjNTg1YTdmYmQifQ=="/>
  </w:docVars>
  <w:rsids>
    <w:rsidRoot w:val="4B41117E"/>
    <w:rsid w:val="00802D0F"/>
    <w:rsid w:val="01B90F7B"/>
    <w:rsid w:val="0206182F"/>
    <w:rsid w:val="06677401"/>
    <w:rsid w:val="08822C0D"/>
    <w:rsid w:val="0A2B1F8E"/>
    <w:rsid w:val="136F1BB6"/>
    <w:rsid w:val="16280045"/>
    <w:rsid w:val="18D37E8F"/>
    <w:rsid w:val="19C20384"/>
    <w:rsid w:val="19C41313"/>
    <w:rsid w:val="1BC176B9"/>
    <w:rsid w:val="1EAF7374"/>
    <w:rsid w:val="20201F0D"/>
    <w:rsid w:val="20F23FB5"/>
    <w:rsid w:val="22A4427B"/>
    <w:rsid w:val="26A33F4E"/>
    <w:rsid w:val="281F663D"/>
    <w:rsid w:val="2B6A4980"/>
    <w:rsid w:val="2D210FFB"/>
    <w:rsid w:val="2E5239FA"/>
    <w:rsid w:val="30C971FE"/>
    <w:rsid w:val="33907E92"/>
    <w:rsid w:val="37981004"/>
    <w:rsid w:val="387A0A68"/>
    <w:rsid w:val="3AE83FE1"/>
    <w:rsid w:val="43771D24"/>
    <w:rsid w:val="44791AEE"/>
    <w:rsid w:val="472E2B2F"/>
    <w:rsid w:val="4AB40265"/>
    <w:rsid w:val="4B41117E"/>
    <w:rsid w:val="4F481E1A"/>
    <w:rsid w:val="52AB1F7B"/>
    <w:rsid w:val="59914F45"/>
    <w:rsid w:val="5B8E01B0"/>
    <w:rsid w:val="5D5FB073"/>
    <w:rsid w:val="5FEE0A66"/>
    <w:rsid w:val="61E15103"/>
    <w:rsid w:val="62870BBC"/>
    <w:rsid w:val="66CA4B64"/>
    <w:rsid w:val="691624DA"/>
    <w:rsid w:val="6E047C1B"/>
    <w:rsid w:val="75047C3F"/>
    <w:rsid w:val="774E46F6"/>
    <w:rsid w:val="79005DCA"/>
    <w:rsid w:val="7E4325D1"/>
    <w:rsid w:val="FFFEF6B0"/>
    <w:rsid w:val="FFFF0169"/>
    <w:rsid w:val="FF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Indent"/>
    <w:basedOn w:val="1"/>
    <w:next w:val="1"/>
    <w:qFormat/>
    <w:uiPriority w:val="0"/>
    <w:pPr>
      <w:ind w:left="1096"/>
      <w:jc w:val="both"/>
    </w:pPr>
    <w:rPr>
      <w:rFonts w:ascii="宋体" w:hAnsi="宋体" w:cs="宋体"/>
      <w:color w:val="000000"/>
      <w:lang w:val="en-US" w:eastAsia="zh-CN" w:bidi="ar-SA"/>
    </w:rPr>
  </w:style>
  <w:style w:type="paragraph" w:styleId="5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</w:rPr>
  </w:style>
  <w:style w:type="paragraph" w:styleId="6">
    <w:name w:val="Body Text"/>
    <w:basedOn w:val="1"/>
    <w:next w:val="1"/>
    <w:qFormat/>
    <w:uiPriority w:val="0"/>
    <w:rPr>
      <w:rFonts w:ascii="宋体" w:hAnsi="宋体"/>
    </w:rPr>
  </w:style>
  <w:style w:type="paragraph" w:styleId="7">
    <w:name w:val="Body Text Indent"/>
    <w:basedOn w:val="1"/>
    <w:next w:val="5"/>
    <w:qFormat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8">
    <w:name w:val="header"/>
    <w:basedOn w:val="1"/>
    <w:next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7"/>
    <w:next w:val="1"/>
    <w:qFormat/>
    <w:uiPriority w:val="99"/>
    <w:pPr>
      <w:ind w:firstLine="200" w:firstLineChars="200"/>
    </w:pPr>
  </w:style>
  <w:style w:type="character" w:styleId="13">
    <w:name w:val="Strong"/>
    <w:basedOn w:val="1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1326</Words>
  <Characters>1355</Characters>
  <Lines>0</Lines>
  <Paragraphs>0</Paragraphs>
  <TotalTime>1</TotalTime>
  <ScaleCrop>false</ScaleCrop>
  <LinksUpToDate>false</LinksUpToDate>
  <CharactersWithSpaces>1355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2021-02-24T02:25:00Z</dcterms:created>
  <dc:creator>肖恩碎片</dc:creator>
  <cp:lastModifiedBy>zw</cp:lastModifiedBy>
  <cp:lastPrinted>2022-06-21T17:24:42Z</cp:lastPrinted>
  <dcterms:modified xsi:type="dcterms:W3CDTF">2022-06-21T17:24:49Z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KSOSaveFontToCloudKey">
    <vt:lpwstr>243328577_btnclosed</vt:lpwstr>
  </property>
  <property fmtid="{D5CDD505-2E9C-101B-9397-08002B2CF9AE}" pid="4" name="ICV">
    <vt:lpwstr>4B95F975736F44BE9B44D32D1D148DEF</vt:lpwstr>
  </property>
</Properties>
</file>