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  <w:lang w:eastAsia="zh-CN"/>
        </w:rPr>
        <w:t>中卫市第十三小学建设项目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房屋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征收与补偿安置方案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因中卫市第十三小学建设项目需要，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国务院《国有土地上房屋征收与补偿条例》的有关规定，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沙坡头区人民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政府决定对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中卫市第十三小学建设项目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范围内房屋实施征收。为切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实做好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范围内的房屋征收与补偿安置工作，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结合沙坡头区实际，制定本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一、房屋征收部门：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沙坡头区住房城乡建设和交通局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7" w:firstLineChars="196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二、房屋征收实施单位：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沙坡头区文昌镇人民政府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7" w:firstLineChars="19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三、房屋征收签约</w:t>
      </w:r>
      <w:r>
        <w:rPr>
          <w:rFonts w:hint="default" w:ascii="Times New Roman" w:hAnsi="Times New Roman" w:eastAsia="黑体" w:cs="Times New Roman"/>
          <w:sz w:val="32"/>
          <w:szCs w:val="32"/>
        </w:rPr>
        <w:t>期限：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×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highlight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××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2021年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×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highlight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××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征收期限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30天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四、房屋征收范围：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中卫市第十三小学建设项目范围内的万松所属房屋及附属物，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涉及被征收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户，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占地面积约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2600平方米，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被征收房屋建筑面积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1623平方米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涉及到拆迁的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所有建（构）筑物均属征收对象。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法律法规及政策依据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（一）《中华人民共和国城乡规划法》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（二）《中华人民共和国土地管理法》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《中华人民共和国城市房地产管理法》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《中华人民共和国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民法典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国务院《国有土地上房屋征收与补偿条例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15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（六）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住房和城乡建设部《国有土地上房屋征收评估办法》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15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36"/>
          <w:sz w:val="32"/>
          <w:szCs w:val="32"/>
        </w:rPr>
        <w:t xml:space="preserve"> （七）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《宁夏回族自治区实施〈国有土地上房屋征收与补偿条例〉办法》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（八）中卫市人民政府办公室《关于印发&lt;中卫市棚户区改造货币化安置实施方案（试行）&gt;的通知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（九）其他法律法规政策规定。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7" w:firstLineChars="196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六、被征收房屋面积及性质认定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    沙坡头区人民政府作出房屋征收决定前，协调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自然资源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、住建、审计部门依法对征收范围内的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房屋、土地权属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和房屋的区位、用途、结构、建筑面积进行调查、认定和处理，并将调查结果在项目范围内进行公示。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被征收房屋批大建小的，以实际建筑面积计算；批小建大的，以所有权证记载建筑面积计算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。对认定为合法的给予补偿，对认定为违法违规的不予补偿。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</w:rPr>
        <w:t>违法违规认定情形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无国有土地使用权证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    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无集体土地宅基地使用证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    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当时不符合申领条件，违法取得集体土地宅基地使用证的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    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无所在乡镇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及土地主管部门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出具的土地使用权证明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法律法规规定的其他违法违规行为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</w:rPr>
        <w:t>认定违法违章建筑的情形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19" w:firstLineChars="131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  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未取得建设工程规划许可证或者虽取得建设工程规划许可证，但单位未按批准范围、内容施工的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19" w:firstLineChars="131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  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未经批准在宅基地外、屋顶等自建建（构）筑物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19" w:firstLineChars="131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  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未经批准在承包地上新建、改建和扩建的建（构）筑物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19" w:firstLineChars="131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  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在非法占有的国有、集体土地上新建、改建和扩建的建（构）筑物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19" w:firstLineChars="131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  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未经批准占用过道、马路、公共绿地、人行道等搭建的固定亭棚、房屋等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19" w:firstLineChars="131"/>
        <w:textAlignment w:val="auto"/>
        <w:rPr>
          <w:rFonts w:hint="default" w:ascii="Times New Roman" w:hAnsi="Times New Roman" w:eastAsia="仿宋_GB2312" w:cs="Times New Roman"/>
          <w:color w:val="000000"/>
          <w:w w:val="96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  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w w:val="99"/>
          <w:sz w:val="32"/>
          <w:szCs w:val="32"/>
          <w:shd w:val="clear" w:color="auto" w:fill="FFFFFF"/>
        </w:rPr>
        <w:t>在征收范围确定后实施新建、扩建、改建的建（构）筑物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7" w:firstLineChars="196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 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法律法规规定的其他违法违规行为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7" w:firstLineChars="196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七、评估机构的选定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7" w:firstLineChars="196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房地产评估机构选定工作由房屋征收部门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负责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，房屋征收实施单位组织。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被征收人依据《宁夏回族自治区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&lt;国有土地上房屋征收与补偿条例&gt;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》规定在具备相应资质的房地产估价机构中选定；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被征收人在规定期限内（自印发选定评估机构文件之日起5日内）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未选定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的，则采取摇号、抽签等方式随机选定。由公证部门对选定过程和结果进行现场公证，并出具公证文书。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7" w:firstLineChars="196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八、被征收房屋价值的确定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7" w:firstLineChars="196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被征收房屋价值由选定的房地产评估机构按照住房和城乡建设部《国有土地上房屋征收评估办法》规定评估确定。对评估确定的房屋价值有异议的，自收到评估报告之日起10日内向原房地产价格评估机构申请复核评估。对复核结果有异议的，自收到复核结果之日起10日内向中卫市房地产价格评估专家委员会申请鉴定。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 xml:space="preserve">    九、房屋征收补偿计算标准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contextualSpacing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  <w:t xml:space="preserve">   （一）被征收房屋、装修及附属物价值的补偿。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由委托选定的房地产价格评估机构依法评估确定。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contextualSpacing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  <w:t xml:space="preserve">   （二）政策性补助费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0"/>
          <w:sz w:val="32"/>
          <w:szCs w:val="32"/>
          <w:lang w:val="en-US" w:eastAsia="zh-CN"/>
        </w:rPr>
        <w:t>1.临时安置补助费：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按被征收房屋建筑面积每月每平方米6元计算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补助期限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个月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contextualSpacing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0"/>
          <w:sz w:val="32"/>
          <w:szCs w:val="32"/>
          <w:lang w:val="en-US" w:eastAsia="zh-CN"/>
        </w:rPr>
        <w:t>2.搬迁补助费：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按照被征收房屋建筑面积每平方米10元的标准计算。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  <w:t>（三）政策性奖励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0"/>
          <w:sz w:val="32"/>
          <w:szCs w:val="32"/>
          <w:lang w:val="en-US" w:eastAsia="zh-CN"/>
        </w:rPr>
        <w:t>1.提前签约奖。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签约期限为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日，征收补偿决定发布后，×月×日—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×月×日</w:t>
      </w:r>
      <w:r>
        <w:rPr>
          <w:rFonts w:hint="default" w:ascii="Times New Roman" w:hAnsi="Times New Roman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前20日）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内签约的，奖励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万元/户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（产权证）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；征收补偿决定发布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20日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后签约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的不予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 xml:space="preserve">奖励。 </w:t>
      </w:r>
    </w:p>
    <w:p>
      <w:pPr>
        <w:keepNext w:val="0"/>
        <w:keepLines w:val="0"/>
        <w:pageBreakBefore w:val="0"/>
        <w:tabs>
          <w:tab w:val="left" w:pos="1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kern w:val="0"/>
          <w:sz w:val="32"/>
          <w:szCs w:val="32"/>
          <w:lang w:val="en-US" w:eastAsia="zh-CN"/>
        </w:rPr>
        <w:t>2.提前搬迁奖。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在签订《房屋征收与补偿安置协议》后5日内，完成搬迁并腾空交房的，奖励4万元/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（产权证）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5日后不予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  <w:t>（四）政策性补贴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补偿补贴：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在方案规定的签约期限内签订《房屋征收与补偿安置协议》的，在被征收人房屋评估价值基础上增加35%的补偿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十、征收补偿安置方式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本次征收补偿采取</w:t>
      </w:r>
      <w:r>
        <w:rPr>
          <w:rFonts w:hint="default" w:ascii="Times New Roman" w:hAnsi="Times New Roman" w:eastAsia="仿宋_GB2312" w:cs="Times New Roman"/>
          <w:b/>
          <w:bCs w:val="0"/>
          <w:kern w:val="0"/>
          <w:sz w:val="32"/>
          <w:szCs w:val="32"/>
        </w:rPr>
        <w:t>产权调换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方式进行。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补偿总价包括被征收房屋、装修价值及附属物价值的补偿，以及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政策性补助费、政策性奖励、政策性补贴。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现房形式在文昌镇辖区剩余房源中安置，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产权调换面积按货币补偿总价除以安置住房安置均价进行置换。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  <w:t>（一）住宅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选择多层住房安置的，安置住房均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价1880元/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，楼层价格调整系数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一层为零，二层上浮10%，三层上浮12%，四层上浮8%，五层下浮9%，六层下浮21%。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仿宋_GB2312" w:cs="Times New Roman"/>
          <w:kern w:val="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选择小高层住房安置的，安置住房起价2060元/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</w:rPr>
        <w:t>一层、顶层为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安置价</w:t>
      </w:r>
      <w:r>
        <w:rPr>
          <w:rFonts w:hint="default" w:ascii="Times New Roman" w:hAnsi="Times New Roman" w:eastAsia="仿宋_GB2312" w:cs="Times New Roman"/>
          <w:kern w:val="0"/>
          <w:sz w:val="32"/>
        </w:rPr>
        <w:t>；一层以上每层增加20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元/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㎡</w:t>
      </w:r>
      <w:r>
        <w:rPr>
          <w:rFonts w:hint="default" w:ascii="Times New Roman" w:hAnsi="Times New Roman" w:eastAsia="仿宋_GB2312" w:cs="Times New Roman"/>
          <w:kern w:val="0"/>
          <w:sz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实际置换面积不得超过应置换面积的20%。其中：超出应置换面积5%以内的，由被征收人在实际所选安置楼层对应价格的基础上按200元/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补交购房价款；超出应置换面积5.01%—10%的，由被征收人在实际所选安置楼层对应价格的基础上，按400元/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补交购房价款；超出应置换面积10.01%—20%的，由被征收人在实际所选安置楼层对应价格的基础上，按600元/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补交购房价款。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kern w:val="0"/>
          <w:sz w:val="32"/>
        </w:rPr>
        <w:t>异地安置标准。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根据不同安置住房用地等级给予相应的政策补助。标准如下：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在原居住地土地等级向异地同等级土地安置，同等面积调换。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原居住地土地等级为一类土地的，在异地二类土地上安置，在补偿基础上增加10%，反之减少10%；在异地三类土地上安置，在补偿基础上增加20%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反之减少20%。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原居住地土地等级为二类土地的，在异地三类土地上安置，在补偿基础上增加10%，反之减少10%。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  <w:t>（二）营业房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福润苑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B区14号营业房安置均价为4880元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/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㎡，实际安置面积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超出应置换面积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%以内的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部分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，被征收人按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4880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元/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补交购房价款；超出应置换面积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15%以外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部分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按照区位市场价格补缴房款。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/>
        <w:jc w:val="left"/>
        <w:textAlignment w:val="auto"/>
        <w:rPr>
          <w:rFonts w:hint="default" w:ascii="Times New Roman" w:hAnsi="Times New Roman" w:eastAsia="黑体" w:cs="Times New Roman"/>
          <w:spacing w:val="-1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10"/>
          <w:sz w:val="32"/>
          <w:szCs w:val="32"/>
        </w:rPr>
        <w:t>十一、安置办法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（一）文昌镇政府依据《房屋征收与补偿安置协议》安置被征收人。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（二）被征收人按照房屋征收补偿的各项费用与调换房屋的价格结算差价，实行多退少补。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十二、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房屋征收有关事项的处理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严格按照双方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签订的《</w:t>
      </w:r>
      <w:r>
        <w:rPr>
          <w:rFonts w:hint="default" w:ascii="Times New Roman" w:hAnsi="Times New Roman" w:eastAsia="仿宋_GB2312" w:cs="Times New Roman"/>
          <w:color w:val="000000"/>
          <w:spacing w:val="-10"/>
          <w:sz w:val="32"/>
          <w:szCs w:val="32"/>
        </w:rPr>
        <w:t>房屋产权调换安置协议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选择住房。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被征收房屋存在租赁关系的，在本项目《房屋征收决定公告》发布之日起，被征收人（出租人）应当与承租人自行解除租赁关系，房屋征收部门不承担房屋租赁所产生的任何经济和法律责任。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经营用房停产停业损失的补偿，按照被征收房屋评估价值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的比例乘以停产停业期限（月）计算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一次性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eastAsia="zh-CN"/>
        </w:rPr>
        <w:t>补偿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3个月的停产停业损失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被征收房屋登记为住宅用房，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但办理了工商营业执照和税务登记证，同时经营年限在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年以上，且实</w:t>
      </w:r>
      <w:r>
        <w:rPr>
          <w:rFonts w:hint="default" w:ascii="Times New Roman" w:hAnsi="Times New Roman" w:eastAsia="仿宋_GB2312" w:cs="Times New Roman"/>
          <w:color w:val="000000"/>
          <w:w w:val="97"/>
          <w:sz w:val="32"/>
          <w:szCs w:val="32"/>
        </w:rPr>
        <w:t>际用于生产经营的房屋，参照经营性用房给予停产停业损失补偿。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 xml:space="preserve">    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四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征收设有抵押权的房屋，抵押人与抵押权人应当依照国家有关法律法规规定，就抵押权及其所担保债权的处理问题进行协商。抵押人和抵押权人协商一致的，房屋征收部门按照双方协议对被征收人给予补偿。达不成协议，抵押人可以变更抵押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）只征收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围墙、门房、大门、锅炉房、小煤房、树木等附属物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的，不享受奖励政策。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（六）房屋征收评估费、拆迁清运费等工作经费据实结算。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十三、具体要求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房屋征收范围确定后，不得在房屋征收范围内实施新建、扩建、改建和改变房屋用途等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行为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，违反规定的不予认定补偿。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在本方案确定的签约期限内，达不成补偿安置协议的，由房屋征收部门报请区人民政府按照本方案做出征收补偿决定。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本征收补偿方案仅适用于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中卫市第十三小学建设项目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房屋征收与补偿安置。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本方案未尽事宜按有关法律法规规定执行。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850" w:h="16783"/>
      <w:pgMar w:top="2098" w:right="1474" w:bottom="1984" w:left="1587" w:header="851" w:footer="124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（%1）"/>
      <w:lvlJc w:val="left"/>
      <w:pPr>
        <w:tabs>
          <w:tab w:val="left" w:pos="0"/>
        </w:tabs>
        <w:ind w:left="0" w:firstLine="0"/>
      </w:pPr>
      <w:rPr>
        <w:rFonts w:hint="eastAsia" w:ascii="仿宋_GB2312" w:hAnsi="仿宋_GB2312" w:eastAsia="仿宋_GB2312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17477"/>
    <w:rsid w:val="38D1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 w:firstLine="420" w:firstLineChars="200"/>
    </w:pPr>
    <w:rPr>
      <w:rFonts w:ascii="Times New Roman" w:cs="Times New Roman"/>
    </w:rPr>
  </w:style>
  <w:style w:type="paragraph" w:styleId="3">
    <w:name w:val="Body Text Indent"/>
    <w:basedOn w:val="1"/>
    <w:qFormat/>
    <w:uiPriority w:val="0"/>
    <w:pPr>
      <w:ind w:firstLine="643" w:firstLineChars="200"/>
    </w:pPr>
    <w:rPr>
      <w:rFonts w:ascii="黑体" w:hAnsi="仿宋" w:eastAsia="黑体"/>
      <w:b/>
      <w:szCs w:val="32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2021-09-29T07:41:00Z</dcterms:created>
  <dc:creator>轨迹</dc:creator>
  <cp:lastModifiedBy>轨迹</cp:lastModifiedBy>
  <dcterms:modified xsi:type="dcterms:W3CDTF">2021-09-29T07:42:34Z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