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中卫市第十三小学建设项目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房屋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征收与补偿安置方案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因中卫市第十三小学建设项目需要，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国务院《国有土地上房屋征收与补偿条例》的有关规定，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沙坡头区人民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政府决定对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中卫市第十三小学建设项目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范围内房屋实施征收。为切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实做好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范围内的房屋征收与补偿安置工作，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结合沙坡头区实际，制定本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一、房屋征收部门：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沙坡头区住房城乡建设和交通局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二、房屋征收实施单位：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沙坡头区文昌镇人民政府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三、房屋征收签约</w:t>
      </w:r>
      <w:r>
        <w:rPr>
          <w:rFonts w:hint="default" w:ascii="Times New Roman" w:hAnsi="Times New Roman" w:eastAsia="黑体" w:cs="Times New Roman"/>
          <w:sz w:val="32"/>
          <w:szCs w:val="32"/>
        </w:rPr>
        <w:t>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征收期限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30天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四、房屋征收范围：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中卫市第十三小学建设项目范围内的万松所属房屋及附属物，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涉及被征收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占地面积约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2600平方米，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被征收房屋建筑面积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1623平方米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涉及到拆迁的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所有建（构）筑物均属征收对象。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法律法规及政策依据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（一）《中华人民共和国城乡规划法》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（二）《中华人民共和国土地管理法》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《中华人民共和国城市房地产管理法》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《中华人民共和国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民法典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国务院《国有土地上房屋征收与补偿条例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住房和城乡建设部《国有土地上房屋征收评估办法》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36"/>
          <w:sz w:val="32"/>
          <w:szCs w:val="32"/>
        </w:rPr>
        <w:t xml:space="preserve"> 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《宁夏回族自治区实施〈国有土地上房屋征收与补偿条例〉办法》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（八）中卫市人民政府办公室《关于印发&lt;中卫市棚户区改造货币化安置实施方案（试行）&gt;的通知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（九）其他法律法规政策规定。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六、被征收房屋面积及性质认定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沙坡头区人民政府作出房屋征收决定前，协调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自然资源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、住建、审计部门依法对征收范围内的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房屋、土地权属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和房屋的区位、用途、结构、建筑面积进行调查、认定和处理，并将调查结果在项目范围内进行公示。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被征收房屋批大建小的，以实际建筑面积计算；批小建大的，以所有权证记载建筑面积计算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。对认定为合法的给予补偿，对认定为违法违规的不予补偿。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违法违规认定情形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无国有土地使用权证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无集体土地宅基地使用证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当时不符合申领条件，违法取得集体土地宅基地使用证的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无所在乡镇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及土地主管部门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出具的土地使用权证明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法律法规规定的其他违法违规行为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</w:rPr>
        <w:t>认定违法违章建筑的情形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未取得建设工程规划许可证或者虽取得建设工程规划许可证，但单位未按批准范围、内容施工的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未经批准在宅基地外、屋顶等自建建（构）筑物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未经批准在承包地上新建、改建和扩建的建（构）筑物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在非法占有的国有、集体土地上新建、改建和扩建的建（构）筑物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未经批准占用过道、马路、公共绿地、人行道等搭建的固定亭棚、房屋等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default" w:ascii="Times New Roman" w:hAnsi="Times New Roman" w:eastAsia="仿宋_GB2312" w:cs="Times New Roman"/>
          <w:color w:val="000000"/>
          <w:w w:val="9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w w:val="99"/>
          <w:sz w:val="32"/>
          <w:szCs w:val="32"/>
          <w:shd w:val="clear" w:color="auto" w:fill="FFFFFF"/>
        </w:rPr>
        <w:t>在征收范围确定后实施新建、扩建、改建的建（构）筑物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法律法规规定的其他违法违规行为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七、评估机构的选定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房地产评估机构选定工作由房屋征收部门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，房屋征收实施单位组织。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被征收人依据《宁夏回族自治区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&lt;国有土地上房屋征收与补偿条例&gt;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》规定在具备相应资质的房地产估价机构中选定；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被征收人在规定期限内（自印发选定评估机构文件之日起5日内）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未选定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的，则采取摇号、抽签等方式随机选定。由公证部门对选定过程和结果进行现场公证，并出具公证文书。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八、被征收房屋价值的确定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被征收房屋价值由选定的房地产评估机构按照住房和城乡建设部《国有土地上房屋征收评估办法》规定评估确定。对评估确定的房屋价值有异议的，自收到评估报告之日起10日内向原房地产价格评估机构申请复核评估。对复核结果有异议的，自收到复核结果之日起10日内向中卫市房地产价格评估专家委员会申请鉴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九、房屋征收补偿计算标准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 xml:space="preserve">   （一）被征收房屋、装修及附属物价值的补偿。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由委托选定的房地产价格评估机构依法评估确定。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contextualSpacing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 xml:space="preserve">   （二）政策性补助费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1.临时安置补助费：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按被征收房屋建筑面积每月每平方米6元计算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补助期限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2.搬迁补助费：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按照被征收房屋建筑面积每平方米10元的标准计算。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（三）政策性奖励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1.提前签约奖。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签约期限为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日，征收补偿决定发布后，×月×日—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×月×日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前20日）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内签约的，奖励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万元/户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（产权证）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；征收补偿决定发布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后签约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的不予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奖励。 </w:t>
      </w:r>
    </w:p>
    <w:p>
      <w:pPr>
        <w:keepNext w:val="0"/>
        <w:keepLines w:val="0"/>
        <w:pageBreakBefore w:val="0"/>
        <w:tabs>
          <w:tab w:val="left" w:pos="1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2.提前搬迁奖。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在签订《房屋征收与补偿安置协议》后5日内，完成搬迁并腾空交房的，奖励4万元/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（产权证）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5日后不予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（四）政策性补贴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补偿补贴：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在方案规定的签约期限内签订《房屋征收与补偿安置协议》的，在被征收人房屋评估价值基础上增加35%的补偿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十、征收补偿安置方式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本次征收补偿采取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产权调换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补偿总价包括被征收房屋、装修价值及附属物价值的补偿，以及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政策性补助费、政策性奖励、政策性补贴。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现房形式在文昌镇辖区剩余房源中安置，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产权调换面积按货币补偿总价除以安置住房安置均价进行置换。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（一）住宅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选择多层住房安置的，安置住房均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价1880元/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，楼层价格调整系数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一层为零，二层上浮10%，三层上浮12%，四层上浮8%，五层下浮9%，六层下浮21%。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选择小高层住房安置的，安置住房起价2060元/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</w:rPr>
        <w:t>一层、顶层为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安置价</w:t>
      </w:r>
      <w:r>
        <w:rPr>
          <w:rFonts w:hint="default" w:ascii="Times New Roman" w:hAnsi="Times New Roman" w:eastAsia="仿宋_GB2312" w:cs="Times New Roman"/>
          <w:kern w:val="0"/>
          <w:sz w:val="32"/>
        </w:rPr>
        <w:t>；一层以上每层增加20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kern w:val="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实际置换面积不得超过应置换面积的20%。其中：超出应置换面积5%以内的，由被征收人在实际所选安置楼层对应价格的基础上按200元/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补交购房价款；超出应置换面积5.01%—10%的，由被征收人在实际所选安置楼层对应价格的基础上，按400元/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补交购房价款；超出应置换面积10.01%—20%的，由被征收人在实际所选安置楼层对应价格的基础上，按600元/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补交购房价款。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</w:rPr>
        <w:t>异地安置标准。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根据不同安置住房用地等级给予相应的政策补助。标准如下：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在原居住地土地等级向异地同等级土地安置，同等面积调换。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原居住地土地等级为一类土地的，在异地二类土地上安置，在补偿基础上增加10%，反之减少10%；在异地三类土地上安置，在补偿基础上增加20%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反之减少20%。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原居住地土地等级为二类土地的，在异地三类土地上安置，在补偿基础上增加10%，反之减少10%。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（二）营业房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福润苑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B区14号营业房安置均价为4880元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㎡，实际安置面积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超出应置换面积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%以内的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，被征收人按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4880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补交购房价款；超出应置换面积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15%以外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按照区位市场价格补缴房款。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/>
        <w:jc w:val="left"/>
        <w:textAlignment w:val="auto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十一、安置办法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（一）文昌镇政府依据《房屋征收与补偿安置协议》安置被征收人。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（二）被征收人按照房屋征收补偿的各项费用与调换房屋的价格结算差价，实行多退少补。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十二、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房屋征收有关事项的处理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严格按照双方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签订的《</w:t>
      </w:r>
      <w:r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</w:rPr>
        <w:t>房屋产权调换安置协议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选择住房。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被征收房屋存在租赁关系的，在本项目《房屋征收决定公告》发布之日起，被征收人（出租人）应当与承租人自行解除租赁关系，房屋征收部门不承担房屋租赁所产生的任何经济和法律责任。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经营用房停产停业损失的补偿，按照被征收房屋评估价值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的比例乘以停产停业期限（月）计算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一次性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补偿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3个月的停产停业损失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被征收房屋登记为住宅用房，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但办理了工商营业执照和税务登记证，同时经营年限在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年以上，且实</w:t>
      </w:r>
      <w:r>
        <w:rPr>
          <w:rFonts w:hint="default" w:ascii="Times New Roman" w:hAnsi="Times New Roman" w:eastAsia="仿宋_GB2312" w:cs="Times New Roman"/>
          <w:color w:val="000000"/>
          <w:w w:val="97"/>
          <w:sz w:val="32"/>
          <w:szCs w:val="32"/>
        </w:rPr>
        <w:t>际用于生产经营的房屋，参照经营性用房给予停产停业损失补偿。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征收设有抵押权的房屋，抵押人与抵押权人应当依照国家有关法律法规规定，就抵押权及其所担保债权的处理问题进行协商。抵押人和抵押权人协商一致的，房屋征收部门按照双方协议对被征收人给予补偿。达不成协议，抵押人可以变更抵押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）只征收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围墙、门房、大门、锅炉房、小煤房、树木等附属物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的，不享受奖励政策。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（六）房屋征收评估费、拆迁清运费等工作经费据实结算。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十三、具体要求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房屋征收范围确定后，不得在房屋征收范围内实施新建、扩建、改建和改变房屋用途等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，违反规定的不予认定补偿。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在本方案确定的签约期限内，达不成补偿安置协议的，由房屋征收部门报请区人民政府按照本方案做出征收补偿决定。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本征收补偿方案仅适用于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中卫市第十三小学建设项目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房屋征收与补偿安置。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本方案未尽事宜按有关法律法规规定执行。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474" w:bottom="1984" w:left="1587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仿宋_GB2312" w:hAnsi="仿宋_GB2312" w:eastAsia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7477"/>
    <w:rsid w:val="38D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2021-09-29T07:41:00Z</dcterms:created>
  <dc:creator>轨迹</dc:creator>
  <cp:lastModifiedBy>轨迹</cp:lastModifiedBy>
  <dcterms:modified xsi:type="dcterms:W3CDTF">2021-09-29T07:42:34Z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