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textAlignment w:val="baseline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</w:p>
    <w:p>
      <w:pPr>
        <w:pStyle w:val="2"/>
        <w:spacing w:line="58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报表目录</w:t>
      </w:r>
    </w:p>
    <w:p>
      <w:pPr>
        <w:pStyle w:val="2"/>
        <w:spacing w:line="44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</w:p>
    <w:tbl>
      <w:tblPr>
        <w:tblStyle w:val="4"/>
        <w:tblW w:w="100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691"/>
        <w:gridCol w:w="1125"/>
        <w:gridCol w:w="2703"/>
        <w:gridCol w:w="21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381" w:type="dxa"/>
            <w:vAlign w:val="center"/>
          </w:tcPr>
          <w:p>
            <w:pPr>
              <w:pStyle w:val="5"/>
              <w:spacing w:line="240" w:lineRule="exact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表号</w:t>
            </w:r>
          </w:p>
        </w:tc>
        <w:tc>
          <w:tcPr>
            <w:tcW w:w="2691" w:type="dxa"/>
            <w:vAlign w:val="center"/>
          </w:tcPr>
          <w:p>
            <w:pPr>
              <w:pStyle w:val="5"/>
              <w:spacing w:line="240" w:lineRule="exact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表名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spacing w:line="240" w:lineRule="exact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报告</w:t>
            </w:r>
          </w:p>
          <w:p>
            <w:pPr>
              <w:pStyle w:val="5"/>
              <w:spacing w:line="240" w:lineRule="exact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期别</w:t>
            </w:r>
          </w:p>
        </w:tc>
        <w:tc>
          <w:tcPr>
            <w:tcW w:w="2703" w:type="dxa"/>
            <w:vAlign w:val="center"/>
          </w:tcPr>
          <w:p>
            <w:pPr>
              <w:pStyle w:val="5"/>
              <w:spacing w:line="240" w:lineRule="exact"/>
            </w:pPr>
            <w:r>
              <w:rPr>
                <w:rFonts w:hint="eastAsia"/>
                <w:color w:val="000000"/>
                <w:szCs w:val="18"/>
              </w:rPr>
              <w:t>报送时限及方式</w:t>
            </w:r>
          </w:p>
        </w:tc>
        <w:tc>
          <w:tcPr>
            <w:tcW w:w="2140" w:type="dxa"/>
            <w:vAlign w:val="center"/>
          </w:tcPr>
          <w:p>
            <w:pPr>
              <w:pStyle w:val="5"/>
              <w:spacing w:line="240" w:lineRule="exact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统计范围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381" w:type="dxa"/>
            <w:vAlign w:val="center"/>
          </w:tcPr>
          <w:p>
            <w:pPr>
              <w:pStyle w:val="5"/>
              <w:spacing w:line="32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国管节能</w:t>
            </w:r>
          </w:p>
          <w:p>
            <w:pPr>
              <w:pStyle w:val="5"/>
              <w:spacing w:line="32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基1表</w:t>
            </w:r>
          </w:p>
        </w:tc>
        <w:tc>
          <w:tcPr>
            <w:tcW w:w="2691" w:type="dxa"/>
            <w:vAlign w:val="center"/>
          </w:tcPr>
          <w:p>
            <w:pPr>
              <w:pStyle w:val="5"/>
              <w:spacing w:line="320" w:lineRule="exact"/>
              <w:jc w:val="lef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公共机构基本信息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spacing w:line="32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2703" w:type="dxa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eastAsia="仿宋_GB2312" w:cs="仿宋_GB2312"/>
                <w:bCs/>
                <w:szCs w:val="21"/>
              </w:rPr>
              <w:t>各公共机构于每年12月30日前网络报送。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仿宋_GB2312" w:cs="仿宋_GB2312"/>
                <w:bCs/>
                <w:szCs w:val="21"/>
              </w:rPr>
              <w:t>沙坡头区所有公共机构（国家机关、事业单位、团体组织）。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381" w:type="dxa"/>
            <w:vAlign w:val="center"/>
          </w:tcPr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国管节能</w:t>
            </w:r>
          </w:p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基2表</w:t>
            </w:r>
          </w:p>
        </w:tc>
        <w:tc>
          <w:tcPr>
            <w:tcW w:w="2691" w:type="dxa"/>
            <w:vAlign w:val="center"/>
          </w:tcPr>
          <w:p>
            <w:pPr>
              <w:pStyle w:val="5"/>
              <w:spacing w:line="240" w:lineRule="exact"/>
              <w:jc w:val="lef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公共机构能源资源消费状况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半年</w:t>
            </w:r>
          </w:p>
        </w:tc>
        <w:tc>
          <w:tcPr>
            <w:tcW w:w="2703" w:type="dxa"/>
            <w:vMerge w:val="restart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eastAsia="仿宋_GB2312" w:cs="仿宋_GB2312"/>
                <w:bCs/>
                <w:szCs w:val="21"/>
              </w:rPr>
              <w:t>各公共机构于当年6月20日前和12月30日前网络报送。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pStyle w:val="5"/>
              <w:spacing w:line="240" w:lineRule="exact"/>
              <w:jc w:val="lef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381" w:type="dxa"/>
            <w:vAlign w:val="center"/>
          </w:tcPr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国管节能</w:t>
            </w:r>
          </w:p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基3表</w:t>
            </w:r>
          </w:p>
        </w:tc>
        <w:tc>
          <w:tcPr>
            <w:tcW w:w="2691" w:type="dxa"/>
            <w:vAlign w:val="center"/>
          </w:tcPr>
          <w:p>
            <w:pPr>
              <w:pStyle w:val="5"/>
              <w:spacing w:line="240" w:lineRule="exact"/>
              <w:jc w:val="lef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数据中心机房能源消费状况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半年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pStyle w:val="5"/>
              <w:spacing w:line="240" w:lineRule="exact"/>
              <w:jc w:val="lef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381" w:type="dxa"/>
            <w:vAlign w:val="center"/>
          </w:tcPr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国管节能</w:t>
            </w:r>
          </w:p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基4表</w:t>
            </w:r>
          </w:p>
        </w:tc>
        <w:tc>
          <w:tcPr>
            <w:tcW w:w="2691" w:type="dxa"/>
            <w:vAlign w:val="center"/>
          </w:tcPr>
          <w:p>
            <w:pPr>
              <w:pStyle w:val="5"/>
              <w:spacing w:line="240" w:lineRule="exact"/>
              <w:jc w:val="lef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公共机构采暖能源资源</w:t>
            </w:r>
          </w:p>
          <w:p>
            <w:pPr>
              <w:pStyle w:val="5"/>
              <w:spacing w:line="240" w:lineRule="exact"/>
              <w:jc w:val="lef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消费状况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半年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pStyle w:val="5"/>
              <w:spacing w:line="240" w:lineRule="exact"/>
              <w:jc w:val="lef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81" w:type="dxa"/>
            <w:vAlign w:val="center"/>
          </w:tcPr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国管节能</w:t>
            </w:r>
          </w:p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综1表</w:t>
            </w:r>
          </w:p>
        </w:tc>
        <w:tc>
          <w:tcPr>
            <w:tcW w:w="2691" w:type="dxa"/>
            <w:vAlign w:val="center"/>
          </w:tcPr>
          <w:p>
            <w:pPr>
              <w:pStyle w:val="5"/>
              <w:spacing w:line="240" w:lineRule="exact"/>
              <w:jc w:val="lef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公共机构能源资源消费统计分级汇总情况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2703" w:type="dxa"/>
            <w:vMerge w:val="restart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eastAsia="仿宋_GB2312" w:cs="仿宋_GB2312"/>
                <w:bCs/>
                <w:szCs w:val="21"/>
              </w:rPr>
              <w:t>机关事务局于</w:t>
            </w:r>
            <w:r>
              <w:rPr>
                <w:rFonts w:hint="eastAsia" w:ascii="宋体" w:hAnsi="宋体" w:eastAsia="仿宋_GB2312" w:cs="仿宋_GB2312"/>
                <w:bCs/>
                <w:color w:val="000000"/>
                <w:szCs w:val="21"/>
              </w:rPr>
              <w:t>次年2月20日前分别以</w:t>
            </w:r>
            <w:r>
              <w:rPr>
                <w:rFonts w:hint="eastAsia" w:ascii="宋体" w:hAnsi="宋体" w:eastAsia="仿宋_GB2312" w:cs="仿宋_GB2312"/>
                <w:bCs/>
                <w:szCs w:val="21"/>
              </w:rPr>
              <w:t>网络和纸质方式报送。</w:t>
            </w:r>
            <w:bookmarkStart w:id="0" w:name="_GoBack"/>
            <w:bookmarkEnd w:id="0"/>
          </w:p>
        </w:tc>
        <w:tc>
          <w:tcPr>
            <w:tcW w:w="2140" w:type="dxa"/>
            <w:vMerge w:val="restart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bCs/>
                <w:szCs w:val="21"/>
              </w:rPr>
              <w:t>沙坡头区。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81" w:type="dxa"/>
            <w:vAlign w:val="center"/>
          </w:tcPr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国管节能</w:t>
            </w:r>
          </w:p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综2表</w:t>
            </w:r>
          </w:p>
        </w:tc>
        <w:tc>
          <w:tcPr>
            <w:tcW w:w="2691" w:type="dxa"/>
            <w:vAlign w:val="center"/>
          </w:tcPr>
          <w:p>
            <w:pPr>
              <w:pStyle w:val="5"/>
              <w:spacing w:line="240" w:lineRule="exact"/>
              <w:jc w:val="lef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公共机构能源资源消费统计分类汇总情况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381" w:type="dxa"/>
            <w:vAlign w:val="center"/>
          </w:tcPr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国管节能</w:t>
            </w:r>
          </w:p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综3表</w:t>
            </w:r>
          </w:p>
        </w:tc>
        <w:tc>
          <w:tcPr>
            <w:tcW w:w="2691" w:type="dxa"/>
            <w:vAlign w:val="center"/>
          </w:tcPr>
          <w:p>
            <w:pPr>
              <w:pStyle w:val="5"/>
              <w:spacing w:line="240" w:lineRule="exact"/>
              <w:jc w:val="lef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公共机构数据中心机房能源消费统计汇总情况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381" w:type="dxa"/>
            <w:vAlign w:val="center"/>
          </w:tcPr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国管节能</w:t>
            </w:r>
          </w:p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综4表</w:t>
            </w:r>
          </w:p>
        </w:tc>
        <w:tc>
          <w:tcPr>
            <w:tcW w:w="2691" w:type="dxa"/>
            <w:vAlign w:val="center"/>
          </w:tcPr>
          <w:p>
            <w:pPr>
              <w:pStyle w:val="5"/>
              <w:spacing w:line="240" w:lineRule="exact"/>
              <w:jc w:val="lef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公共机构采暖能源资源消费统计汇总情况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spacing w:line="240" w:lineRule="exact"/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b w:val="0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仿宋_GB2312" w:cs="仿宋_GB2312"/>
                <w:bCs/>
                <w:color w:val="000000"/>
                <w:szCs w:val="21"/>
              </w:rPr>
            </w:pPr>
          </w:p>
        </w:tc>
      </w:tr>
    </w:tbl>
    <w:p>
      <w:pPr>
        <w:pStyle w:val="2"/>
        <w:spacing w:line="440" w:lineRule="exact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pStyle w:val="2"/>
        <w:spacing w:line="360" w:lineRule="exact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pStyle w:val="2"/>
        <w:spacing w:line="360" w:lineRule="exact"/>
        <w:rPr>
          <w:rFonts w:hint="eastAsia" w:ascii="宋体" w:hAnsi="宋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  <w:style w:type="paragraph" w:customStyle="1" w:styleId="5">
    <w:name w:val="样式 (西文) 宋体 小五 加粗 居中"/>
    <w:basedOn w:val="1"/>
    <w:qFormat/>
    <w:uiPriority w:val="0"/>
    <w:pPr>
      <w:jc w:val="center"/>
    </w:pPr>
    <w:rPr>
      <w:rFonts w:ascii="宋体" w:hAnsi="宋体" w:cs="宋体"/>
      <w:b/>
      <w:bCs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2018-03-05T03:37:48Z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