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val="0"/>
          <w:color w:val="000000" w:themeColor="text1"/>
          <w:sz w:val="44"/>
          <w:szCs w:val="44"/>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bookmarkStart w:id="0" w:name="_GoBack"/>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第</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189号建议</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案由：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关于支持沙坡头区中部干旱带西线供水工程助力脱贫攻坚的建议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内容：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宁夏中部干旱带西线供水工程被列入自治区国民经济和社会发展“十三五”规划纲要、自治区和全国“十三五”水利发展规划，是自治区“6+4”重点推进项目。由宁夏汇霖农业投资公司投资兴建的沙坡头区兴仁片区工程被纳入了宁夏中部干旱带西线供水工程的整体规划，确定为水源主体工程。项目于2014年底被中卫市发改委核准批复（卫发改核准〔2014〕15号），2016年列入自治区级扶贫灌溉项目，2017年9月，自治区水利厅批准取水许可证。该工程是以提水灌溉为主的三等中型水利工程，概算总投资18.62亿元，规划从黄河南岸高崖沟口取水，设三级扬水泵站，建设蓄水池、铺设压力管道、配套各类阀井房等。工程建设之前，该地区灌溉水源依靠甘肃兴电供水及群众自发打井解决，存在水源没有保障，供水量不足、水质差等问题。工程建成后，将有效解决沙坡头区香山、兴仁两乡镇35万亩耕地及5万余人（包括5个生态移民村，建档立卡贫困人口近万人）用水问题，促进深度贫困区的社会经济发展。目前，该工程完成投资8亿元，项目主体已完工，道路、输电线路、变电站、水库坝体、一、二、三泵站及输水管道已全部投入运营，2016年5月开始供水，为项目区4村6万亩农田累计供水1000万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虽然该工程项目主体已完工，具备了供水条件，但工程后续建设仍存在一些问题：一是该项目投资大、建设周期长、资金需求量大，项目开工建设5年已投入资金8亿元，但由于项目属民营企业投资，金融部门对项目贷款审批谨慎，且已投运的泵站、坝体等固定资产不能抵押贷款，导致项目后续投入资金紧缺，建设举步维艰。二是该工程虽为西线供水工程的组成部分，但因民间资本投资水利设施建设属新兴事物，缺乏明确的扶持配套政策，建设过程中协调困难，后期项目无法推进。三是水利工程效益回报期较长，加之项目倾斜、扶持、补贴等方面无相关政策支持，导致收益较低，满足不了企业日常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下一步，该工程计划投资7.67亿元，完成22公里输水双管道、连通110输电专线、35万亩田间配套、一、二泵站水泵配套等项目，彻底解决兴仁、香山4万人的饮水安全和35万亩农田的灌溉问题，促进特色产业发展，推动贫困地区群众脱贫致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1.由银行、担保等机构部门提供金融服务，支持民营经济发展，破解融资难问题。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2.协调区属国有大型企业积极介入，以股份合作委托运营等方式，参加工程建设管理，保证效益长期发挥。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3.由财政、扶贫、农业农村、水利等部门安排专项资金或给予政策倾斜，支持项目建设，确保早日完成建设任务。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主办单位：</w:t>
      </w:r>
      <w:r>
        <w:rPr>
          <w:rFonts w:hint="default" w:ascii="Times New Roman" w:hAnsi="Times New Roman" w:eastAsia="仿宋_GB2312" w:cs="Times New Roman"/>
          <w:color w:val="000000" w:themeColor="text1"/>
          <w:spacing w:val="-6"/>
          <w:sz w:val="32"/>
          <w:szCs w:val="32"/>
          <w14:textFill>
            <w14:solidFill>
              <w14:schemeClr w14:val="tx1"/>
            </w14:solidFill>
          </w14:textFill>
        </w:rPr>
        <w:t>中卫市</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协</w:t>
      </w:r>
      <w:r>
        <w:rPr>
          <w:rFonts w:hint="default" w:ascii="Times New Roman" w:hAnsi="Times New Roman" w:eastAsia="仿宋_GB2312" w:cs="Times New Roman"/>
          <w:b/>
          <w:bCs/>
          <w:color w:val="000000" w:themeColor="text1"/>
          <w:sz w:val="32"/>
          <w:szCs w:val="32"/>
          <w14:textFill>
            <w14:solidFill>
              <w14:schemeClr w14:val="tx1"/>
            </w14:solidFill>
          </w14:textFill>
        </w:rPr>
        <w:t>办单位：</w:t>
      </w:r>
      <w:r>
        <w:rPr>
          <w:rFonts w:hint="default" w:ascii="Times New Roman" w:hAnsi="Times New Roman" w:eastAsia="仿宋_GB2312" w:cs="Times New Roman"/>
          <w:color w:val="000000" w:themeColor="text1"/>
          <w:spacing w:val="-6"/>
          <w:sz w:val="32"/>
          <w:szCs w:val="32"/>
          <w14:textFill>
            <w14:solidFill>
              <w14:schemeClr w14:val="tx1"/>
            </w14:solidFill>
          </w14:textFill>
        </w:rPr>
        <w:t>财政厅</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14:textFill>
            <w14:solidFill>
              <w14:schemeClr w14:val="tx1"/>
            </w14:solidFill>
          </w14:textFill>
        </w:rPr>
        <w:t>水利厅</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14:textFill>
            <w14:solidFill>
              <w14:schemeClr w14:val="tx1"/>
            </w14:solidFill>
          </w14:textFill>
        </w:rPr>
        <w:t>农业农村厅</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14:textFill>
            <w14:solidFill>
              <w14:schemeClr w14:val="tx1"/>
            </w14:solidFill>
          </w14:textFill>
        </w:rPr>
        <w:t>国资委</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14:textFill>
            <w14:solidFill>
              <w14:schemeClr w14:val="tx1"/>
            </w14:solidFill>
          </w14:textFill>
        </w:rPr>
        <w:t>地方金融监管局</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14:textFill>
            <w14:solidFill>
              <w14:schemeClr w14:val="tx1"/>
            </w14:solidFill>
          </w14:textFill>
        </w:rPr>
        <w:t>扶贫办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eastAsia="zh-CN"/>
          <w14:textFill>
            <w14:solidFill>
              <w14:schemeClr w14:val="tx1"/>
            </w14:solidFill>
          </w14:textFill>
        </w:rPr>
        <w:t>建议</w:t>
      </w:r>
      <w:r>
        <w:rPr>
          <w:rFonts w:hint="default" w:ascii="Times New Roman" w:hAnsi="Times New Roman" w:eastAsia="仿宋_GB2312" w:cs="Times New Roman"/>
          <w:b/>
          <w:bCs/>
          <w:color w:val="000000" w:themeColor="text1"/>
          <w:sz w:val="32"/>
          <w:szCs w:val="32"/>
          <w14:textFill>
            <w14:solidFill>
              <w14:schemeClr w14:val="tx1"/>
            </w14:solidFill>
          </w14:textFill>
        </w:rPr>
        <w:t>领衔</w:t>
      </w:r>
      <w:r>
        <w:rPr>
          <w:rFonts w:hint="default" w:ascii="Times New Roman" w:hAnsi="Times New Roman" w:eastAsia="仿宋_GB2312" w:cs="Times New Roman"/>
          <w:b/>
          <w:bCs/>
          <w:color w:val="000000" w:themeColor="text1"/>
          <w:spacing w:val="-6"/>
          <w:sz w:val="32"/>
          <w:szCs w:val="32"/>
          <w:lang w:eastAsia="zh-CN"/>
          <w14:textFill>
            <w14:solidFill>
              <w14:schemeClr w14:val="tx1"/>
            </w14:solidFill>
          </w14:textFill>
        </w:rPr>
        <w:t>人：</w:t>
      </w:r>
      <w:r>
        <w:rPr>
          <w:rFonts w:hint="default"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童刚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867F7"/>
    <w:rsid w:val="0528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2020-06-22T09:27:00Z</dcterms:created>
  <dc:creator>KWO</dc:creator>
  <cp:lastModifiedBy>KWO</cp:lastModifiedBy>
  <dcterms:modified xsi:type="dcterms:W3CDTF">2020-06-22T09:27:49Z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