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方正小标宋_GBK" w:cs="Times New Roman"/>
          <w:color w:val="000000" w:themeColor="text1"/>
          <w:sz w:val="40"/>
          <w:szCs w:val="40"/>
          <w:lang w:val="en-US" w:eastAsia="zh-CN"/>
          <w14:textFill>
            <w14:solidFill>
              <w14:schemeClr w14:val="tx1"/>
            </w14:solidFill>
          </w14:textFill>
        </w:rPr>
      </w:pPr>
      <w:bookmarkStart w:id="0" w:name="_GoBack"/>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社会公益事业建设领域政府信息公开目录清单</w:t>
      </w:r>
    </w:p>
    <w:bookmarkEnd w:id="0"/>
    <w:p>
      <w:pPr>
        <w:pStyle w:val="3"/>
        <w:rPr>
          <w:rFonts w:hint="default" w:ascii="Times New Roman" w:hAnsi="Times New Roman" w:cs="Times New Roman"/>
          <w:color w:val="000000" w:themeColor="text1"/>
          <w:sz w:val="16"/>
          <w:szCs w:val="22"/>
          <w:lang w:val="en-US" w:eastAsia="zh-CN"/>
          <w14:textFill>
            <w14:solidFill>
              <w14:schemeClr w14:val="tx1"/>
            </w14:solidFill>
          </w14:textFill>
        </w:rPr>
      </w:pPr>
    </w:p>
    <w:tbl>
      <w:tblPr>
        <w:tblStyle w:val="7"/>
        <w:tblW w:w="13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062"/>
        <w:gridCol w:w="4666"/>
        <w:gridCol w:w="770"/>
        <w:gridCol w:w="2600"/>
        <w:gridCol w:w="293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43"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序号</w:t>
            </w:r>
          </w:p>
        </w:tc>
        <w:tc>
          <w:tcPr>
            <w:tcW w:w="1062" w:type="dxa"/>
            <w:vAlign w:val="center"/>
          </w:tcPr>
          <w:p>
            <w:pPr>
              <w:jc w:val="both"/>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公开事项</w:t>
            </w:r>
          </w:p>
        </w:tc>
        <w:tc>
          <w:tcPr>
            <w:tcW w:w="4666" w:type="dxa"/>
            <w:vAlign w:val="center"/>
          </w:tcPr>
          <w:p>
            <w:pPr>
              <w:ind w:firstLine="1606" w:firstLineChars="800"/>
              <w:jc w:val="both"/>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公开主要内容</w:t>
            </w:r>
          </w:p>
        </w:tc>
        <w:tc>
          <w:tcPr>
            <w:tcW w:w="770"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公开时限</w:t>
            </w:r>
          </w:p>
        </w:tc>
        <w:tc>
          <w:tcPr>
            <w:tcW w:w="2600" w:type="dxa"/>
            <w:vAlign w:val="center"/>
          </w:tcPr>
          <w:p>
            <w:pPr>
              <w:ind w:firstLine="402" w:firstLineChars="200"/>
              <w:jc w:val="both"/>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公开方式（渠道）</w:t>
            </w:r>
          </w:p>
        </w:tc>
        <w:tc>
          <w:tcPr>
            <w:tcW w:w="2932" w:type="dxa"/>
            <w:vAlign w:val="center"/>
          </w:tcPr>
          <w:p>
            <w:pPr>
              <w:ind w:firstLine="402" w:firstLineChars="200"/>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责任单位</w:t>
            </w:r>
          </w:p>
        </w:tc>
        <w:tc>
          <w:tcPr>
            <w:tcW w:w="1290"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0"/>
                <w:szCs w:val="20"/>
                <w:vertAlign w:val="baseline"/>
                <w:lang w:val="en-US" w:eastAsia="zh-CN" w:bidi="ar-SA"/>
                <w14:textFill>
                  <w14:solidFill>
                    <w14:schemeClr w14:val="tx1"/>
                  </w14:solidFill>
                </w14:textFill>
              </w:rPr>
              <w:t>监督渠道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2" w:hRule="atLeast"/>
        </w:trPr>
        <w:tc>
          <w:tcPr>
            <w:tcW w:w="543"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t>1</w:t>
            </w:r>
          </w:p>
        </w:tc>
        <w:tc>
          <w:tcPr>
            <w:tcW w:w="1062"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脱贫攻坚领域</w:t>
            </w:r>
          </w:p>
        </w:tc>
        <w:tc>
          <w:tcPr>
            <w:tcW w:w="4666" w:type="dxa"/>
            <w:vAlign w:val="center"/>
          </w:tcPr>
          <w:p>
            <w:pPr>
              <w:jc w:val="left"/>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及时向社会公开国家及自治区、中卫市、沙坡头区出台的扶贫政策、扶贫规划及扶贫项目名称、资金来源、实施期限、预期目标、实施结果、实施单位及其责任人、举报电话、检查验收结果等信息。切实加强产业扶贫、易地扶贫搬迁、金融扶贫、科技扶贫、教育扶贫、社会扶贫、健康扶贫、旅游扶贫、驻村帮扶、贫困村提升工程、贫困劳动力职业技能培训、扶贫资金管理等重点工作信息的公开。强化向特定区域、特定群体公开贫困识别、贫困退出、扶贫资金分配和使用情况、帮扶责任人、扶贫成效等信息。注重运用技术手段实现公开的信息可检索、可核查、可利用，为社会各界参与脱贫攻坚事业提供服务，方便人民群众监督。</w:t>
            </w:r>
          </w:p>
        </w:tc>
        <w:tc>
          <w:tcPr>
            <w:tcW w:w="770" w:type="dxa"/>
            <w:vAlign w:val="center"/>
          </w:tcPr>
          <w:p>
            <w:pPr>
              <w:jc w:val="center"/>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t>实时公开</w:t>
            </w:r>
          </w:p>
        </w:tc>
        <w:tc>
          <w:tcPr>
            <w:tcW w:w="2600" w:type="dxa"/>
            <w:vAlign w:val="center"/>
          </w:tcPr>
          <w:p>
            <w:pPr>
              <w:jc w:val="left"/>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沙坡头区政府门户网站，“宁夏政务服务网”网上大厅等政务服务平台，政府公报、政务新媒体、政府新闻发布会、广播电视、报纸杂志、公示栏、宣传册等平台和办事大厅、便民服务窗口等场所，以及主流新闻媒体、新闻网站等</w:t>
            </w:r>
          </w:p>
        </w:tc>
        <w:tc>
          <w:tcPr>
            <w:tcW w:w="2932" w:type="dxa"/>
            <w:vAlign w:val="center"/>
          </w:tcPr>
          <w:p>
            <w:pPr>
              <w:jc w:val="left"/>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扶贫开发办公室、区委组织部、发展和改革局、教育局、科学技术局、工业信息化和商务局、民政和社会保障局、财政局、自然资源局、住房城乡建设和交通局、水务局、农业农村局、旅游和文化体育广电局、卫生健康局、审计局、医疗保障局、生态环境分局，有关国有企业，各乡镇人民政府</w:t>
            </w:r>
          </w:p>
        </w:tc>
        <w:tc>
          <w:tcPr>
            <w:tcW w:w="1290" w:type="dxa"/>
            <w:vAlign w:val="center"/>
          </w:tcPr>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tc>
      </w:tr>
    </w:tbl>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tbl>
      <w:tblPr>
        <w:tblStyle w:val="7"/>
        <w:tblpPr w:leftFromText="180" w:rightFromText="180" w:vertAnchor="text" w:horzAnchor="page" w:tblpX="1671" w:tblpY="208"/>
        <w:tblOverlap w:val="never"/>
        <w:tblW w:w="13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40"/>
        <w:gridCol w:w="5242"/>
        <w:gridCol w:w="900"/>
        <w:gridCol w:w="2355"/>
        <w:gridCol w:w="235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8" w:hRule="atLeast"/>
        </w:trPr>
        <w:tc>
          <w:tcPr>
            <w:tcW w:w="468"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2</w:t>
            </w:r>
          </w:p>
        </w:tc>
        <w:tc>
          <w:tcPr>
            <w:tcW w:w="1140"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社会救助和社会服务领域</w:t>
            </w:r>
          </w:p>
        </w:tc>
        <w:tc>
          <w:tcPr>
            <w:tcW w:w="5242"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及时向社会公开国家及自治区、中卫市、沙坡头区出台的社会救助和社会福利相关政策措施，重点公开城乡低保、特困人员救助供养、受灾人员救助、教育救助、医疗救助、住房救助、就业援助、临时救助、老年人福利、残疾人福利、儿童福利、计划生育特殊困难家庭扶助等信息，全面公开救助对象认定、保障标准、福利补贴申领及申请审批程序等相关政策，有针对性地公开救助款物的管理使用、福利补贴发放等情况。公开投诉举报方式，便于群众申报、查询、监督。公开方式方法要因地制宜、因事制宜，既确保公开实效、维护底线公平，又保护好相关人员个人隐私。</w:t>
            </w:r>
          </w:p>
        </w:tc>
        <w:tc>
          <w:tcPr>
            <w:tcW w:w="900" w:type="dxa"/>
            <w:vMerge w:val="restart"/>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实时公开</w:t>
            </w:r>
          </w:p>
        </w:tc>
        <w:tc>
          <w:tcPr>
            <w:tcW w:w="2355" w:type="dxa"/>
            <w:vMerge w:val="restart"/>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沙坡头区政府门户网站，“宁夏政务服务网”网上大厅等政务服务平台，政府公报、政务新媒体、政府新闻发布会、广播电视、报纸杂志、公示栏、宣传册等平台和办事大厅、便民服务窗口等场所，以及主流新闻媒体、新闻网站等</w:t>
            </w:r>
          </w:p>
        </w:tc>
        <w:tc>
          <w:tcPr>
            <w:tcW w:w="2355"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区民政和社会保障局、教育局、住房城乡建设和交通局、卫生健康局、应急管理局、医疗保障局，各乡镇人民政府</w:t>
            </w:r>
          </w:p>
        </w:tc>
        <w:tc>
          <w:tcPr>
            <w:tcW w:w="1388" w:type="dxa"/>
            <w:vMerge w:val="restart"/>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468"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3</w:t>
            </w:r>
          </w:p>
        </w:tc>
        <w:tc>
          <w:tcPr>
            <w:tcW w:w="1140"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教育</w:t>
            </w:r>
          </w:p>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领域</w:t>
            </w:r>
          </w:p>
        </w:tc>
        <w:tc>
          <w:tcPr>
            <w:tcW w:w="5242"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围绕义务教育、学前教育、特殊教育等关系人民群众切身利益的事项，重点公开相关政策、发展规划、考试招生、困难学生资助实施情况等信息。做好农村义务教育学生营养改善计划政策及相应情况、义务教育控辍保学、县域义务教育优质均衡发展等工作进展情况的公开。</w:t>
            </w:r>
          </w:p>
        </w:tc>
        <w:tc>
          <w:tcPr>
            <w:tcW w:w="900" w:type="dxa"/>
            <w:vMerge w:val="continue"/>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tc>
        <w:tc>
          <w:tcPr>
            <w:tcW w:w="2355" w:type="dxa"/>
            <w:vMerge w:val="continue"/>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tc>
        <w:tc>
          <w:tcPr>
            <w:tcW w:w="2355"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区教育局，各乡镇人民政府</w:t>
            </w:r>
          </w:p>
        </w:tc>
        <w:tc>
          <w:tcPr>
            <w:tcW w:w="1388" w:type="dxa"/>
            <w:vMerge w:val="continue"/>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tc>
      </w:tr>
    </w:tbl>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tbl>
      <w:tblPr>
        <w:tblStyle w:val="7"/>
        <w:tblpPr w:leftFromText="180" w:rightFromText="180" w:vertAnchor="text" w:horzAnchor="page" w:tblpXSpec="center" w:tblpY="188"/>
        <w:tblOverlap w:val="never"/>
        <w:tblW w:w="13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140"/>
        <w:gridCol w:w="5290"/>
        <w:gridCol w:w="915"/>
        <w:gridCol w:w="2385"/>
        <w:gridCol w:w="232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2" w:hRule="atLeast"/>
          <w:jc w:val="center"/>
        </w:trPr>
        <w:tc>
          <w:tcPr>
            <w:tcW w:w="478"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4</w:t>
            </w:r>
          </w:p>
        </w:tc>
        <w:tc>
          <w:tcPr>
            <w:tcW w:w="1140"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基本医疗卫生领域</w:t>
            </w:r>
          </w:p>
        </w:tc>
        <w:tc>
          <w:tcPr>
            <w:tcW w:w="5290"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保障好人民群众对公共医疗卫生的知情权，全面公开分级诊疗、现代医院管理、全民医疗保障、药品供应保障、综合监管等深化医药卫生体制改革制度建设的政策、进展等相关信息。重点公开重大疾病预防控制、国家免疫规划、突发公共卫生事件、传染病疫情及防控等信息。公开职业病分类、目录以及职业病防治监督管理工作有关信息。针对妇女、未成年人、老年人等重点人群和农村、工矿企业等重点区域，大力开展专项健康科普，用现代医学知识为人民群众提供健康服务。进一步做好疾病应急救助政策落实情况公开工作，督促医院结算窗口公示“一站式”即时结报、先诊疗后付费等政策。公开实行政府指导价管理的常规医疗服务价格信息。及时公开食品药品有关标准、许可、抽检、处罚、召回等监管信息，发布消费警示，开展科普宣传。完善推广企业“黑名单”制度，让违法者寸步难行，让人民群众吃的放心。提高信息化技术在卫生监督中的应用，为及时预警和有针对性地采取措施、加快建设环境友好型社会提供依据。</w:t>
            </w:r>
          </w:p>
        </w:tc>
        <w:tc>
          <w:tcPr>
            <w:tcW w:w="915" w:type="dxa"/>
            <w:vMerge w:val="restart"/>
            <w:vAlign w:val="center"/>
          </w:tcPr>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center"/>
              <w:rPr>
                <w:rFonts w:hint="default" w:ascii="Times New Roman" w:hAnsi="Times New Roman" w:cs="Times New Roman"/>
                <w:color w:val="000000" w:themeColor="text1"/>
                <w:sz w:val="28"/>
                <w:szCs w:val="36"/>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实时公开</w:t>
            </w: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pStyle w:val="3"/>
              <w:jc w:val="center"/>
              <w:rPr>
                <w:rFonts w:hint="default" w:ascii="Times New Roman" w:hAnsi="Times New Roman" w:cs="Times New Roman"/>
                <w:color w:val="000000" w:themeColor="text1"/>
                <w:sz w:val="22"/>
                <w:szCs w:val="36"/>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实时公开</w:t>
            </w:r>
          </w:p>
        </w:tc>
        <w:tc>
          <w:tcPr>
            <w:tcW w:w="2385" w:type="dxa"/>
            <w:vMerge w:val="restart"/>
            <w:vAlign w:val="center"/>
          </w:tcPr>
          <w:p>
            <w:pPr>
              <w:jc w:val="left"/>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left"/>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left"/>
              <w:rPr>
                <w:rFonts w:hint="default" w:ascii="Times New Roman" w:hAnsi="Times New Roman" w:cs="Times New Roman"/>
                <w:color w:val="000000" w:themeColor="text1"/>
                <w:sz w:val="28"/>
                <w:szCs w:val="36"/>
                <w:lang w:val="en-US" w:eastAsia="zh-CN"/>
                <w14:textFill>
                  <w14:solidFill>
                    <w14:schemeClr w14:val="tx1"/>
                  </w14:solidFill>
                </w14:textFill>
              </w:rPr>
            </w:pPr>
          </w:p>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沙坡头区政府门户网站，“宁夏政务服务网”网上大厅等政务服务平台，政府公报、政务新媒体、政府新闻发布会、广播电视、报纸杂志、公示栏、宣传册等平台和办事大厅、便民服务窗口等场所，以及主流新闻媒体、新闻网站等</w:t>
            </w: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rPr>
                <w:rFonts w:hint="default" w:ascii="Times New Roman" w:hAnsi="Times New Roman" w:cs="Times New Roman"/>
                <w:color w:val="000000" w:themeColor="text1"/>
                <w:sz w:val="28"/>
                <w:szCs w:val="36"/>
                <w:lang w:val="en-US" w:eastAsia="zh-CN"/>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p>
            <w:pPr>
              <w:pStyle w:val="3"/>
              <w:rPr>
                <w:rFonts w:hint="default" w:ascii="Times New Roman" w:hAnsi="Times New Roman" w:cs="Times New Roman"/>
                <w:color w:val="000000" w:themeColor="text1"/>
                <w:sz w:val="22"/>
                <w:szCs w:val="36"/>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沙坡头区政府门户网站，“宁夏政务服务网”网上大厅等政务服务平台，政府公报、政务新媒体、政府新闻发布会、广播电视、报纸杂志、公示栏、宣传册等平台和办事大厅、便民服务窗口等场所，以及主流新闻媒体、新闻网站等</w:t>
            </w:r>
          </w:p>
        </w:tc>
        <w:tc>
          <w:tcPr>
            <w:tcW w:w="2325" w:type="dxa"/>
            <w:vAlign w:val="center"/>
          </w:tcPr>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区卫生健康局、医疗保障局，各乡镇人民政府</w:t>
            </w:r>
          </w:p>
        </w:tc>
        <w:tc>
          <w:tcPr>
            <w:tcW w:w="1327" w:type="dxa"/>
            <w:vMerge w:val="restart"/>
            <w:vAlign w:val="center"/>
          </w:tcPr>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p>
          <w:p>
            <w:pPr>
              <w:jc w:val="left"/>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t>5</w:t>
            </w:r>
          </w:p>
        </w:tc>
        <w:tc>
          <w:tcPr>
            <w:tcW w:w="1140"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生态环境保护领域</w:t>
            </w:r>
          </w:p>
        </w:tc>
        <w:tc>
          <w:tcPr>
            <w:tcW w:w="5290"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进一步做好社会广泛关注的大气污染防治、水污染防治、土壤污染管控和修复等信息公开工作。及时向社会发布空气质量预测预报信息、大范围重污染天气预警提示信息、每月公开沙坡头区环境空气质量排名、沙坡头区集中式生活饮用水水源池水质状况、按时公开重点污染源监督性监测结果和企业自行监测工作开展情况及监测结果。重点公开国家及自治区、中卫市、沙坡头区出台的环境污染防治和生态保护政策措施、实施效果，加强建设项目环境影响评价审批、环境保护执法监督、环境投诉处理等信息公开。及时发布重大环境污染和生态破坏事件的调查处置情况，正确引导社会舆论，积极回应社会关切。健全环保信息强制性披露制度。</w:t>
            </w:r>
          </w:p>
        </w:tc>
        <w:tc>
          <w:tcPr>
            <w:tcW w:w="915" w:type="dxa"/>
            <w:vMerge w:val="continue"/>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tc>
        <w:tc>
          <w:tcPr>
            <w:tcW w:w="2385" w:type="dxa"/>
            <w:vMerge w:val="continue"/>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tc>
        <w:tc>
          <w:tcPr>
            <w:tcW w:w="2325"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市生态环境分局、区住房城乡建设和交通局、水务局、卫生健康局、应急管理局，各乡镇人民政府</w:t>
            </w:r>
          </w:p>
        </w:tc>
        <w:tc>
          <w:tcPr>
            <w:tcW w:w="1327" w:type="dxa"/>
            <w:vMerge w:val="continue"/>
            <w:vAlign w:val="center"/>
          </w:tcPr>
          <w:p>
            <w:pPr>
              <w:jc w:val="center"/>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1" w:hRule="atLeast"/>
          <w:jc w:val="center"/>
        </w:trPr>
        <w:tc>
          <w:tcPr>
            <w:tcW w:w="478" w:type="dxa"/>
            <w:vAlign w:val="center"/>
          </w:tcPr>
          <w:p>
            <w:pPr>
              <w:jc w:val="cente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t>6</w:t>
            </w:r>
          </w:p>
        </w:tc>
        <w:tc>
          <w:tcPr>
            <w:tcW w:w="1140"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灾害事故救援领域</w:t>
            </w:r>
          </w:p>
        </w:tc>
        <w:tc>
          <w:tcPr>
            <w:tcW w:w="5290"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及时准确发布自然灾害、重大事故灾难、公共卫生事件等突发事件的应急处置与救援、医疗救护与卫生防疫、次生灾害预警防范等工作情况及动态信息。建立救灾款物信息公开制度，及时发布灾害救助需求信息，推动做好救助款物和捐赠款物的来源、数量、种类及使用情况，救助对象及其接受救助款物数额，灾后恢复重建工作进展等信息的公开工作。</w:t>
            </w:r>
          </w:p>
        </w:tc>
        <w:tc>
          <w:tcPr>
            <w:tcW w:w="915"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实时公开</w:t>
            </w:r>
          </w:p>
        </w:tc>
        <w:tc>
          <w:tcPr>
            <w:tcW w:w="2385" w:type="dxa"/>
            <w:vMerge w:val="continue"/>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p>
        </w:tc>
        <w:tc>
          <w:tcPr>
            <w:tcW w:w="2325" w:type="dxa"/>
            <w:vAlign w:val="center"/>
          </w:tcPr>
          <w:p>
            <w:pPr>
              <w:pStyle w:val="3"/>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区应急管理局、卫生健康局、气象局，各乡镇人民政府</w:t>
            </w:r>
          </w:p>
        </w:tc>
        <w:tc>
          <w:tcPr>
            <w:tcW w:w="1327"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tc>
      </w:tr>
    </w:tbl>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tbl>
      <w:tblPr>
        <w:tblStyle w:val="7"/>
        <w:tblpPr w:leftFromText="180" w:rightFromText="180" w:vertAnchor="text" w:horzAnchor="page" w:tblpX="1591" w:tblpY="177"/>
        <w:tblOverlap w:val="never"/>
        <w:tblW w:w="13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724"/>
        <w:gridCol w:w="5168"/>
        <w:gridCol w:w="870"/>
        <w:gridCol w:w="2415"/>
        <w:gridCol w:w="232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trPr>
        <w:tc>
          <w:tcPr>
            <w:tcW w:w="1053"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7</w:t>
            </w:r>
          </w:p>
        </w:tc>
        <w:tc>
          <w:tcPr>
            <w:tcW w:w="724"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公共文化</w:t>
            </w:r>
          </w:p>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体育领域</w:t>
            </w:r>
          </w:p>
        </w:tc>
        <w:tc>
          <w:tcPr>
            <w:tcW w:w="5168"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大力推进公共文化体育的服务保障政策、服务体系建设、财政资金投入和使用、设施建设和使用以及政府购买公共文化体育服务的目录、绩效评价结果等信息公开。及时公开公共文化体育设施名录、公益性文化服务活动、公益性体育赛事和活动、全民健身系列活动等情况。</w:t>
            </w:r>
          </w:p>
        </w:tc>
        <w:tc>
          <w:tcPr>
            <w:tcW w:w="870" w:type="dxa"/>
            <w:vAlign w:val="center"/>
          </w:tcPr>
          <w:p>
            <w:pPr>
              <w:jc w:val="cente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实时公开</w:t>
            </w:r>
          </w:p>
        </w:tc>
        <w:tc>
          <w:tcPr>
            <w:tcW w:w="2415"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沙坡头区政府门户网站，“宁夏政务服务网”网上大厅等政务服务平台，政府公报、政务新媒体、政府新闻发布会、广播电视、报纸杂志、公示栏、宣传册等平台和办事大厅、便民服务窗口等场所，以及主流新闻媒体、新闻网站等</w:t>
            </w:r>
          </w:p>
        </w:tc>
        <w:tc>
          <w:tcPr>
            <w:tcW w:w="2325"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区旅游和文化体育广电局，各乡镇人民政府</w:t>
            </w:r>
          </w:p>
        </w:tc>
        <w:tc>
          <w:tcPr>
            <w:tcW w:w="1290" w:type="dxa"/>
            <w:vAlign w:val="center"/>
          </w:tcPr>
          <w:p>
            <w:pPr>
              <w:jc w:val="left"/>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社会公众、新闻媒体</w:t>
            </w:r>
          </w:p>
        </w:tc>
      </w:tr>
    </w:tbl>
    <w:p>
      <w:pPr>
        <w:jc w:val="left"/>
        <w:rPr>
          <w:rFonts w:hint="default" w:ascii="Times New Roman" w:hAnsi="Times New Roman" w:eastAsia="仿宋_GB2312" w:cs="Times New Roman"/>
          <w:color w:val="000000" w:themeColor="text1"/>
          <w:kern w:val="2"/>
          <w:sz w:val="20"/>
          <w:szCs w:val="20"/>
          <w:vertAlign w:val="baseline"/>
          <w:lang w:val="en-US" w:eastAsia="zh-CN" w:bidi="ar-SA"/>
          <w14:textFill>
            <w14:solidFill>
              <w14:schemeClr w14:val="tx1"/>
            </w14:solidFill>
          </w14:textFill>
        </w:rPr>
      </w:pPr>
    </w:p>
    <w:p/>
    <w:sectPr>
      <w:pgSz w:w="16838" w:h="11906" w:orient="landscape"/>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C4DFF"/>
    <w:rsid w:val="0D0C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3" w:firstLineChars="200"/>
    </w:pPr>
    <w:rPr>
      <w:rFonts w:ascii="黑体" w:hAnsi="仿宋" w:eastAsia="黑体"/>
      <w:b/>
      <w:szCs w:val="32"/>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spacing w:after="120"/>
      <w:ind w:left="200" w:leftChars="200" w:firstLine="420" w:firstLineChars="200"/>
    </w:pPr>
    <w:rPr>
      <w:rFonts w:ascii="Times New Roman"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2019-08-22T10:57:00Z</dcterms:created>
  <dc:creator>晨晨</dc:creator>
  <cp:lastModifiedBy>晨晨</cp:lastModifiedBy>
  <dcterms:modified xsi:type="dcterms:W3CDTF">2019-08-22T10:59:05Z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