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00"/>
        <w:textAlignment w:val="auto"/>
        <w:outlineLvl w:val="9"/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  <w:t>沙坡头区社会救助审批权限下放乡镇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55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  <w:t>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55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  <w:t>权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01" w:firstLineChars="11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55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68" w:firstLineChars="300"/>
        <w:textAlignment w:val="auto"/>
        <w:outlineLvl w:val="9"/>
        <w:rPr>
          <w:rFonts w:hint="default" w:ascii="Times New Roman" w:hAnsi="Times New Roman" w:eastAsia="方正小标宋简体" w:cs="Times New Roman"/>
          <w:spacing w:val="-20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pacing w:val="-2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20"/>
          <w:w w:val="100"/>
          <w:sz w:val="44"/>
          <w:szCs w:val="44"/>
          <w:lang w:eastAsia="zh-CN"/>
        </w:rPr>
        <w:t>沙坡头区社会救助审批权限下放乡镇授权书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12" w:firstLineChars="200"/>
        <w:textAlignment w:val="auto"/>
        <w:outlineLvl w:val="9"/>
        <w:rPr>
          <w:rFonts w:hint="default" w:ascii="Times New Roman" w:hAnsi="Times New Roman" w:eastAsia="方正小标宋简体" w:cs="Times New Roman"/>
          <w:spacing w:val="-20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为推进沙坡头区社会救助审批管理制度改革，进一步优化社会救助审核审批流程，全面提高便民、惠民服务水平，签订如下授权书: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一、授权单位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中卫市沙坡头区人民政府。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二、授权行政权力事项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行政给付:最低生活保障、特困人员供养、低收入高龄老人津贴、临时救助及残疾人两项补贴审批权限。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三、工作要求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区民社局履行监管责任，做好业务指导培训，按程序向区财政局申请拨付救助资金;加强对救助资金管理使用监管。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乡镇人民政府履行主体责任，乡镇长是第一责任人，乡镇民生中心负责做好受理、审核、审批工作。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民委员会履行协助责任，负责做好入户调查，召开民主评议、公示、材料收集上报等工作。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从授权之日起，请按照《中卫市沙坡头区人民政府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关于社会救助审批权限下放乡镇工作实施方案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的通知》文件相关操作程序执行。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授权单位：中卫市沙坡头区人民政府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被授权单位：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20"/>
          <w:w w:val="90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签字：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本授权书一式两份，双方各执一份。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5C55"/>
    <w:rsid w:val="724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2019-06-03T03:31:00Z</dcterms:created>
  <dc:creator>Administrator</dc:creator>
  <cp:lastModifiedBy>Administrator</cp:lastModifiedBy>
  <dcterms:modified xsi:type="dcterms:W3CDTF">2019-06-03T03:31:33Z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