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autoSpaceDE/>
        <w:autoSpaceDN/>
        <w:bidi w:val="0"/>
        <w:adjustRightInd/>
        <w:spacing w:line="560" w:lineRule="exact"/>
        <w:jc w:val="left"/>
        <w:textAlignment w:val="auto"/>
        <w:rPr>
          <w:rFonts w:hint="default" w:ascii="Times New Roman" w:hAnsi="Times New Roman" w:eastAsia="黑体" w:cs="Times New Roman"/>
          <w:b w:val="0"/>
          <w:sz w:val="32"/>
          <w:szCs w:val="32"/>
        </w:rPr>
      </w:pPr>
      <w:r>
        <w:rPr>
          <w:rFonts w:hint="default" w:ascii="Times New Roman" w:hAnsi="Times New Roman" w:eastAsia="黑体" w:cs="Times New Roman"/>
          <w:b w:val="0"/>
          <w:sz w:val="32"/>
          <w:szCs w:val="32"/>
        </w:rPr>
        <w:t>附件2</w:t>
      </w:r>
    </w:p>
    <w:p>
      <w:pPr>
        <w:keepNext w:val="0"/>
        <w:keepLines w:val="0"/>
        <w:pageBreakBefore w:val="0"/>
        <w:widowControl w:val="0"/>
        <w:kinsoku/>
        <w:wordWrap/>
        <w:overflowPunct/>
        <w:topLinePunct w:val="0"/>
        <w:autoSpaceDE/>
        <w:autoSpaceDN/>
        <w:bidi w:val="0"/>
        <w:adjustRightInd/>
        <w:spacing w:line="560" w:lineRule="exact"/>
        <w:jc w:val="left"/>
        <w:textAlignment w:val="auto"/>
        <w:rPr>
          <w:rFonts w:hint="default" w:ascii="Times New Roman" w:hAnsi="Times New Roman" w:eastAsia="方正小标宋_GBK"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eastAsia="方正小标宋_GBK" w:cs="Times New Roman"/>
          <w:sz w:val="44"/>
          <w:szCs w:val="44"/>
          <w:lang w:val="en-US" w:eastAsia="zh-CN"/>
        </w:rPr>
      </w:pPr>
      <w:bookmarkStart w:id="0" w:name="_GoBack"/>
      <w:r>
        <w:rPr>
          <w:rFonts w:hint="default" w:ascii="Times New Roman" w:hAnsi="Times New Roman" w:eastAsia="方正小标宋_GBK" w:cs="Times New Roman"/>
          <w:sz w:val="44"/>
          <w:szCs w:val="44"/>
          <w:lang w:val="en-US" w:eastAsia="zh-CN"/>
        </w:rPr>
        <w:t>文件依据名录</w:t>
      </w:r>
    </w:p>
    <w:bookmarkEnd w:id="0"/>
    <w:p>
      <w:pPr>
        <w:pStyle w:val="2"/>
        <w:keepNext w:val="0"/>
        <w:keepLines w:val="0"/>
        <w:pageBreakBefore w:val="0"/>
        <w:widowControl w:val="0"/>
        <w:kinsoku/>
        <w:wordWrap/>
        <w:overflowPunct/>
        <w:topLinePunct w:val="0"/>
        <w:autoSpaceDE/>
        <w:autoSpaceDN/>
        <w:bidi w:val="0"/>
        <w:adjustRightInd/>
        <w:snapToGrid/>
        <w:spacing w:line="560" w:lineRule="exact"/>
        <w:ind w:firstLine="420"/>
        <w:textAlignment w:val="auto"/>
        <w:rPr>
          <w:rFonts w:hint="default" w:ascii="Times New Roman" w:hAnsi="Times New Roman" w:cs="Times New Roman"/>
          <w:lang w:val="en-US" w:eastAsia="zh-CN"/>
        </w:rPr>
      </w:pPr>
    </w:p>
    <w:p>
      <w:pPr>
        <w:keepNext w:val="0"/>
        <w:keepLines w:val="0"/>
        <w:pageBreakBefore w:val="0"/>
        <w:widowControl w:val="0"/>
        <w:numPr>
          <w:ilvl w:val="0"/>
          <w:numId w:val="0"/>
        </w:numPr>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lang w:val="en-US" w:eastAsia="zh-CN"/>
        </w:rPr>
        <w:t>1.</w:t>
      </w:r>
      <w:r>
        <w:rPr>
          <w:rFonts w:hint="default" w:ascii="Times New Roman" w:hAnsi="Times New Roman" w:eastAsia="仿宋_GB2312" w:cs="Times New Roman"/>
          <w:kern w:val="0"/>
          <w:sz w:val="32"/>
          <w:szCs w:val="32"/>
          <w:highlight w:val="none"/>
        </w:rPr>
        <w:t>《</w:t>
      </w:r>
      <w:r>
        <w:rPr>
          <w:rFonts w:hint="default" w:ascii="Times New Roman" w:hAnsi="Times New Roman" w:eastAsia="仿宋_GB2312" w:cs="Times New Roman"/>
          <w:kern w:val="0"/>
          <w:sz w:val="32"/>
          <w:szCs w:val="32"/>
          <w:highlight w:val="none"/>
          <w:lang w:val="en-US" w:eastAsia="zh-CN"/>
        </w:rPr>
        <w:t>中共中央国务院</w:t>
      </w:r>
      <w:r>
        <w:rPr>
          <w:rFonts w:hint="default" w:ascii="Times New Roman" w:hAnsi="Times New Roman" w:eastAsia="仿宋_GB2312" w:cs="Times New Roman"/>
          <w:kern w:val="0"/>
          <w:sz w:val="32"/>
          <w:szCs w:val="32"/>
          <w:highlight w:val="none"/>
        </w:rPr>
        <w:t>关于建立国土空间规划体系并监督实施的若干意见》（中发〔2019〕18号）</w:t>
      </w:r>
    </w:p>
    <w:p>
      <w:pPr>
        <w:keepNext w:val="0"/>
        <w:keepLines w:val="0"/>
        <w:pageBreakBefore w:val="0"/>
        <w:widowControl w:val="0"/>
        <w:numPr>
          <w:ilvl w:val="0"/>
          <w:numId w:val="0"/>
        </w:numPr>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kern w:val="0"/>
          <w:sz w:val="32"/>
          <w:szCs w:val="32"/>
          <w:highlight w:val="none"/>
          <w:lang w:val="en-US" w:eastAsia="zh-CN"/>
        </w:rPr>
      </w:pPr>
      <w:r>
        <w:rPr>
          <w:rFonts w:hint="default" w:ascii="Times New Roman" w:hAnsi="Times New Roman" w:eastAsia="仿宋_GB2312" w:cs="Times New Roman"/>
          <w:kern w:val="0"/>
          <w:sz w:val="32"/>
          <w:szCs w:val="32"/>
          <w:highlight w:val="none"/>
          <w:lang w:val="en-US" w:eastAsia="zh-CN"/>
        </w:rPr>
        <w:t>2.《自然资源部关于全面开展国土空间规划工作的通知》</w:t>
      </w:r>
      <w:r>
        <w:rPr>
          <w:rFonts w:hint="default" w:ascii="Times New Roman" w:hAnsi="Times New Roman" w:eastAsia="仿宋_GB2312" w:cs="Times New Roman"/>
          <w:kern w:val="0"/>
          <w:sz w:val="32"/>
          <w:szCs w:val="32"/>
          <w:highlight w:val="none"/>
        </w:rPr>
        <w:t>（自然资发〔2019〕</w:t>
      </w:r>
      <w:r>
        <w:rPr>
          <w:rFonts w:hint="default" w:ascii="Times New Roman" w:hAnsi="Times New Roman" w:eastAsia="仿宋_GB2312" w:cs="Times New Roman"/>
          <w:kern w:val="0"/>
          <w:sz w:val="32"/>
          <w:szCs w:val="32"/>
          <w:highlight w:val="none"/>
          <w:lang w:val="en-US" w:eastAsia="zh-CN"/>
        </w:rPr>
        <w:t>87</w:t>
      </w:r>
      <w:r>
        <w:rPr>
          <w:rFonts w:hint="default" w:ascii="Times New Roman" w:hAnsi="Times New Roman" w:eastAsia="仿宋_GB2312" w:cs="Times New Roman"/>
          <w:kern w:val="0"/>
          <w:sz w:val="32"/>
          <w:szCs w:val="32"/>
          <w:highlight w:val="none"/>
        </w:rPr>
        <w:t>号）</w:t>
      </w:r>
    </w:p>
    <w:p>
      <w:pPr>
        <w:keepNext w:val="0"/>
        <w:keepLines w:val="0"/>
        <w:pageBreakBefore w:val="0"/>
        <w:widowControl w:val="0"/>
        <w:numPr>
          <w:ilvl w:val="0"/>
          <w:numId w:val="0"/>
        </w:numPr>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lang w:val="en-US" w:eastAsia="zh-CN"/>
        </w:rPr>
        <w:t>3.</w:t>
      </w:r>
      <w:r>
        <w:rPr>
          <w:rFonts w:hint="default" w:ascii="Times New Roman" w:hAnsi="Times New Roman" w:eastAsia="仿宋_GB2312" w:cs="Times New Roman"/>
          <w:kern w:val="0"/>
          <w:sz w:val="32"/>
          <w:szCs w:val="32"/>
          <w:highlight w:val="none"/>
        </w:rPr>
        <w:t>《关于加强村庄规划促进乡村振兴的通知》（自然资办发〔2019〕35号）</w:t>
      </w:r>
    </w:p>
    <w:p>
      <w:pPr>
        <w:keepNext w:val="0"/>
        <w:keepLines w:val="0"/>
        <w:pageBreakBefore w:val="0"/>
        <w:widowControl w:val="0"/>
        <w:numPr>
          <w:ilvl w:val="0"/>
          <w:numId w:val="0"/>
        </w:numPr>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lang w:val="en-US" w:eastAsia="zh-CN"/>
        </w:rPr>
        <w:t>4.</w:t>
      </w:r>
      <w:r>
        <w:rPr>
          <w:rFonts w:hint="default" w:ascii="Times New Roman" w:hAnsi="Times New Roman" w:eastAsia="仿宋_GB2312" w:cs="Times New Roman"/>
          <w:kern w:val="0"/>
          <w:sz w:val="32"/>
          <w:szCs w:val="32"/>
          <w:highlight w:val="none"/>
        </w:rPr>
        <w:t>《自治区党委农办 农业农村厅 自然资源厅 住建厅 发改委 财政厅关于印发〈统筹推进村庄规划工作实施方案〉的通知》（宁农（社）发〔2019〕6号）</w:t>
      </w:r>
    </w:p>
    <w:p>
      <w:pPr>
        <w:keepNext w:val="0"/>
        <w:keepLines w:val="0"/>
        <w:pageBreakBefore w:val="0"/>
        <w:widowControl w:val="0"/>
        <w:numPr>
          <w:ilvl w:val="0"/>
          <w:numId w:val="0"/>
        </w:numPr>
        <w:kinsoku/>
        <w:wordWrap/>
        <w:overflowPunct/>
        <w:topLinePunct w:val="0"/>
        <w:autoSpaceDE/>
        <w:autoSpaceDN/>
        <w:bidi w:val="0"/>
        <w:adjustRightInd/>
        <w:spacing w:line="560" w:lineRule="exact"/>
        <w:ind w:firstLine="640" w:firstLineChars="200"/>
        <w:textAlignment w:val="auto"/>
        <w:rPr>
          <w:rFonts w:hint="default" w:ascii="Times New Roman" w:hAnsi="Times New Roman" w:cs="Times New Roman"/>
          <w:highlight w:val="none"/>
        </w:rPr>
      </w:pPr>
      <w:r>
        <w:rPr>
          <w:rFonts w:hint="default" w:ascii="Times New Roman" w:hAnsi="Times New Roman" w:eastAsia="仿宋_GB2312" w:cs="Times New Roman"/>
          <w:kern w:val="0"/>
          <w:sz w:val="32"/>
          <w:szCs w:val="32"/>
          <w:highlight w:val="none"/>
          <w:lang w:val="en-US" w:eastAsia="zh-CN"/>
        </w:rPr>
        <w:t>5.</w:t>
      </w:r>
      <w:r>
        <w:rPr>
          <w:rFonts w:hint="default" w:ascii="Times New Roman" w:hAnsi="Times New Roman" w:eastAsia="仿宋_GB2312" w:cs="Times New Roman"/>
          <w:kern w:val="0"/>
          <w:sz w:val="32"/>
          <w:szCs w:val="32"/>
          <w:highlight w:val="none"/>
        </w:rPr>
        <w:t>《宁夏回族自治区自然资源厅关于开展全区成建制移民村村庄规划编制工作的通知》（宁自然资发〔2021〕76号）</w:t>
      </w:r>
    </w:p>
    <w:p>
      <w:pPr>
        <w:keepNext w:val="0"/>
        <w:keepLines w:val="0"/>
        <w:pageBreakBefore w:val="0"/>
        <w:widowControl w:val="0"/>
        <w:numPr>
          <w:ilvl w:val="0"/>
          <w:numId w:val="0"/>
        </w:numPr>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lang w:val="en-US" w:eastAsia="zh-CN"/>
        </w:rPr>
        <w:t>6.</w:t>
      </w:r>
      <w:r>
        <w:rPr>
          <w:rFonts w:hint="default" w:ascii="Times New Roman" w:hAnsi="Times New Roman" w:eastAsia="仿宋_GB2312" w:cs="Times New Roman"/>
          <w:kern w:val="0"/>
          <w:sz w:val="32"/>
          <w:szCs w:val="32"/>
          <w:highlight w:val="none"/>
        </w:rPr>
        <w:t>《宁夏回族自治区村庄规划编制导则》</w:t>
      </w:r>
    </w:p>
    <w:p>
      <w:pPr>
        <w:keepNext w:val="0"/>
        <w:keepLines w:val="0"/>
        <w:pageBreakBefore w:val="0"/>
        <w:widowControl w:val="0"/>
        <w:numPr>
          <w:ilvl w:val="0"/>
          <w:numId w:val="0"/>
        </w:numPr>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lang w:val="en-US" w:eastAsia="zh-CN"/>
        </w:rPr>
        <w:t>7.</w:t>
      </w:r>
      <w:r>
        <w:rPr>
          <w:rFonts w:hint="default" w:ascii="Times New Roman" w:hAnsi="Times New Roman" w:eastAsia="仿宋_GB2312" w:cs="Times New Roman"/>
          <w:sz w:val="32"/>
          <w:szCs w:val="32"/>
          <w:highlight w:val="none"/>
        </w:rPr>
        <w:t>《自治区财政厅 自然资源厅关于做好移民村村庄规划编制工作经费保障的通知》</w:t>
      </w:r>
      <w:r>
        <w:rPr>
          <w:rFonts w:hint="default" w:ascii="Times New Roman" w:hAnsi="Times New Roman" w:eastAsia="仿宋_GB2312" w:cs="Times New Roman"/>
          <w:kern w:val="0"/>
          <w:sz w:val="32"/>
          <w:szCs w:val="32"/>
          <w:highlight w:val="none"/>
        </w:rPr>
        <w:t>（宁财（资环）发〔</w:t>
      </w:r>
      <w:r>
        <w:rPr>
          <w:rFonts w:hint="default" w:ascii="Times New Roman" w:hAnsi="Times New Roman" w:eastAsia="仿宋_GB2312" w:cs="Times New Roman"/>
          <w:sz w:val="32"/>
          <w:szCs w:val="32"/>
          <w:highlight w:val="none"/>
        </w:rPr>
        <w:t>2021</w:t>
      </w:r>
      <w:r>
        <w:rPr>
          <w:rFonts w:hint="default" w:ascii="Times New Roman" w:hAnsi="Times New Roman" w:eastAsia="仿宋_GB2312" w:cs="Times New Roman"/>
          <w:kern w:val="0"/>
          <w:sz w:val="32"/>
          <w:szCs w:val="32"/>
          <w:highlight w:val="none"/>
        </w:rPr>
        <w:t>〕</w:t>
      </w:r>
      <w:r>
        <w:rPr>
          <w:rFonts w:hint="default" w:ascii="Times New Roman" w:hAnsi="Times New Roman" w:eastAsia="仿宋_GB2312" w:cs="Times New Roman"/>
          <w:sz w:val="32"/>
          <w:szCs w:val="32"/>
          <w:highlight w:val="none"/>
        </w:rPr>
        <w:t>73</w:t>
      </w:r>
      <w:r>
        <w:rPr>
          <w:rFonts w:hint="default" w:ascii="Times New Roman" w:hAnsi="Times New Roman" w:eastAsia="仿宋_GB2312" w:cs="Times New Roman"/>
          <w:kern w:val="0"/>
          <w:sz w:val="32"/>
          <w:szCs w:val="32"/>
          <w:highlight w:val="none"/>
        </w:rPr>
        <w:t>号）</w:t>
      </w:r>
    </w:p>
    <w:p>
      <w:pPr>
        <w:keepNext w:val="0"/>
        <w:keepLines w:val="0"/>
        <w:pageBreakBefore w:val="0"/>
        <w:widowControl w:val="0"/>
        <w:numPr>
          <w:ilvl w:val="0"/>
          <w:numId w:val="0"/>
        </w:numPr>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8.《中卫市沙坡头区村庄编制工作实施方案》</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val="en-US" w:eastAsia="zh-CN"/>
        </w:rPr>
        <w:t>卫沙党办</w:t>
      </w:r>
      <w:r>
        <w:rPr>
          <w:rFonts w:hint="default" w:ascii="Times New Roman" w:hAnsi="Times New Roman" w:eastAsia="仿宋_GB2312" w:cs="Times New Roman"/>
          <w:sz w:val="32"/>
          <w:szCs w:val="32"/>
          <w:highlight w:val="none"/>
        </w:rPr>
        <w:t>发〔202</w:t>
      </w:r>
      <w:r>
        <w:rPr>
          <w:rFonts w:hint="default" w:ascii="Times New Roman" w:hAnsi="Times New Roman" w:eastAsia="仿宋_GB2312" w:cs="Times New Roman"/>
          <w:sz w:val="32"/>
          <w:szCs w:val="32"/>
          <w:highlight w:val="none"/>
          <w:lang w:val="en-US" w:eastAsia="zh-CN"/>
        </w:rPr>
        <w:t>0</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val="en-US" w:eastAsia="zh-CN"/>
        </w:rPr>
        <w:t>104</w:t>
      </w:r>
      <w:r>
        <w:rPr>
          <w:rFonts w:hint="default" w:ascii="Times New Roman" w:hAnsi="Times New Roman" w:eastAsia="仿宋_GB2312" w:cs="Times New Roman"/>
          <w:sz w:val="32"/>
          <w:szCs w:val="32"/>
          <w:highlight w:val="none"/>
        </w:rPr>
        <w:t>号）</w:t>
      </w:r>
    </w:p>
    <w:p>
      <w:pPr>
        <w:pStyle w:val="5"/>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9.《关于对重点村建立领导包抓工作机制的通知》</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val="en-US" w:eastAsia="zh-CN"/>
        </w:rPr>
        <w:t>卫沙党办</w:t>
      </w:r>
      <w:r>
        <w:rPr>
          <w:rFonts w:hint="default" w:ascii="Times New Roman" w:hAnsi="Times New Roman" w:eastAsia="仿宋_GB2312" w:cs="Times New Roman"/>
          <w:sz w:val="32"/>
          <w:szCs w:val="32"/>
          <w:highlight w:val="none"/>
        </w:rPr>
        <w:t>发〔202</w:t>
      </w:r>
      <w:r>
        <w:rPr>
          <w:rFonts w:hint="default" w:ascii="Times New Roman" w:hAnsi="Times New Roman" w:eastAsia="仿宋_GB2312" w:cs="Times New Roman"/>
          <w:sz w:val="32"/>
          <w:szCs w:val="32"/>
          <w:highlight w:val="none"/>
          <w:lang w:val="en-US" w:eastAsia="zh-CN"/>
        </w:rPr>
        <w:t>1</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val="en-US" w:eastAsia="zh-CN"/>
        </w:rPr>
        <w:t>79</w:t>
      </w:r>
      <w:r>
        <w:rPr>
          <w:rFonts w:hint="default" w:ascii="Times New Roman" w:hAnsi="Times New Roman" w:eastAsia="仿宋_GB2312" w:cs="Times New Roman"/>
          <w:sz w:val="32"/>
          <w:szCs w:val="32"/>
          <w:highlight w:val="none"/>
        </w:rPr>
        <w:t>号）</w:t>
      </w:r>
    </w:p>
    <w:p>
      <w:pPr>
        <w:bidi w:val="0"/>
        <w:rPr>
          <w:rFonts w:hint="default" w:ascii="Times New Roman" w:hAnsi="Times New Roman" w:cs="Times New Roman"/>
        </w:rPr>
      </w:pPr>
    </w:p>
    <w:p>
      <w:pPr>
        <w:bidi w:val="0"/>
        <w:rPr>
          <w:rFonts w:hint="default" w:ascii="Times New Roman" w:hAnsi="Times New Roman" w:cs="Times New Roman"/>
        </w:rPr>
      </w:pPr>
    </w:p>
    <w:p>
      <w:pPr>
        <w:bidi w:val="0"/>
        <w:rPr>
          <w:rFonts w:hint="default" w:ascii="Times New Roman" w:hAnsi="Times New Roman" w:cs="Times New Roman"/>
        </w:rPr>
      </w:pPr>
    </w:p>
    <w:p>
      <w:pPr>
        <w:bidi w:val="0"/>
        <w:rPr>
          <w:rFonts w:hint="default" w:ascii="Times New Roman" w:hAnsi="Times New Roman" w:cs="Times New Roman"/>
        </w:rPr>
      </w:pPr>
    </w:p>
    <w:p>
      <w:pPr>
        <w:bidi w:val="0"/>
        <w:rPr>
          <w:rFonts w:hint="default" w:ascii="Times New Roman" w:hAnsi="Times New Roman" w:cs="Times New Roman"/>
        </w:rPr>
      </w:pPr>
    </w:p>
    <w:p>
      <w:pPr>
        <w:bidi w:val="0"/>
        <w:rPr>
          <w:rFonts w:hint="default" w:ascii="Times New Roman" w:hAnsi="Times New Roman" w:cs="Times New Roman"/>
        </w:rPr>
      </w:pPr>
    </w:p>
    <w:p>
      <w:pPr>
        <w:bidi w:val="0"/>
        <w:rPr>
          <w:rFonts w:hint="default" w:ascii="Times New Roman" w:hAnsi="Times New Roman" w:cs="Times New Roman"/>
        </w:rPr>
      </w:pPr>
    </w:p>
    <w:p>
      <w:pPr>
        <w:bidi w:val="0"/>
        <w:rPr>
          <w:rFonts w:hint="default" w:ascii="Times New Roman" w:hAnsi="Times New Roman" w:cs="Times New Roma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707456"/>
    <w:rsid w:val="3E7074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next w:val="4"/>
    <w:uiPriority w:val="0"/>
    <w:pPr>
      <w:spacing w:after="120"/>
      <w:ind w:left="200" w:leftChars="200" w:firstLine="420"/>
    </w:pPr>
    <w:rPr>
      <w:rFonts w:ascii="Times New Roman" w:cs="Times New Roman"/>
    </w:rPr>
  </w:style>
  <w:style w:type="paragraph" w:styleId="3">
    <w:name w:val="Body Text Indent"/>
    <w:basedOn w:val="1"/>
    <w:uiPriority w:val="0"/>
    <w:pPr>
      <w:ind w:left="630"/>
    </w:pPr>
    <w:rPr>
      <w:rFonts w:hint="eastAsia" w:ascii="仿宋_GB2312" w:hAnsi="宋体" w:eastAsia="仿宋_GB2312"/>
      <w:szCs w:val="32"/>
    </w:rPr>
  </w:style>
  <w:style w:type="paragraph" w:styleId="4">
    <w:name w:val="Balloon Text"/>
    <w:basedOn w:val="1"/>
    <w:uiPriority w:val="0"/>
    <w:rPr>
      <w:sz w:val="18"/>
      <w:szCs w:val="18"/>
    </w:rPr>
  </w:style>
  <w:style w:type="paragraph" w:styleId="5">
    <w:name w:val="footer"/>
    <w:basedOn w:val="1"/>
    <w:next w:val="1"/>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2021-07-28T06:36:00Z</dcterms:created>
  <dc:creator>小妖妖</dc:creator>
  <cp:lastModifiedBy>小妖妖</cp:lastModifiedBy>
  <dcterms:modified xsi:type="dcterms:W3CDTF">2021-07-28T06:37:34Z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