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08" w:lineRule="atLeast"/>
        <w:jc w:val="both"/>
        <w:rPr>
          <w:rFonts w:hint="eastAsia" w:cs="仿宋" w:asciiTheme="minorEastAsia" w:hAnsiTheme="minorEastAsia" w:eastAsiaTheme="minorEastAsia"/>
          <w:color w:val="333333"/>
          <w:spacing w:val="8"/>
          <w:sz w:val="32"/>
          <w:szCs w:val="32"/>
          <w:lang w:eastAsia="zh-CN"/>
        </w:rPr>
      </w:pPr>
      <w:r>
        <w:rPr>
          <w:rFonts w:hint="eastAsia" w:cs="Gungsuh" w:asciiTheme="minorEastAsia" w:hAnsiTheme="minorEastAsia"/>
          <w:color w:val="333333"/>
          <w:spacing w:val="8"/>
          <w:sz w:val="32"/>
          <w:szCs w:val="32"/>
        </w:rPr>
        <w:t>附件</w:t>
      </w:r>
      <w:r>
        <w:rPr>
          <w:rFonts w:hint="eastAsia" w:cs="仿宋" w:asciiTheme="minorEastAsia" w:hAnsiTheme="minorEastAsia"/>
          <w:color w:val="333333"/>
          <w:spacing w:val="8"/>
          <w:sz w:val="32"/>
          <w:szCs w:val="32"/>
          <w:lang w:val="en-US" w:eastAsia="zh-CN"/>
        </w:rPr>
        <w:t>1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rFonts w:cs="仿宋" w:asciiTheme="majorEastAsia" w:hAnsiTheme="majorEastAsia" w:eastAsiaTheme="majorEastAsia"/>
          <w:color w:val="000000" w:themeColor="text1"/>
          <w:spacing w:val="8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cs="仿宋" w:asciiTheme="majorEastAsia" w:hAnsiTheme="majorEastAsia" w:eastAsiaTheme="majorEastAsia"/>
          <w:color w:val="000000" w:themeColor="text1"/>
          <w:spacing w:val="8"/>
          <w:sz w:val="36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宁夏回族自治区认定教师资格体检标准及办法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顺利实施教师资格制度，根据《教师法》、《教师资格条例》、《〈教师资格条例〉实施办法》和《宁夏回族自治区教师资格制度实施细则》，参照《普通高等学校招生体检工作指导意见》、《公务员录用体检通用标准》等，结合我区教师资格认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定工作实际制定本办法。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一、本办法适用的对象为申请认定教师资格者。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二、体检结果分为合格、不合格。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（一）严重心脏病、心肌病，不合格。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先天性心脏病经手术治愈或室间隔缺损分流量少、动脉导管未闭返流血量少，经二级以上医院专科检查确定无需手术者，合格。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（二）结核病未治愈者不合格。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原发性肺结核、继发性肺结核、结核性胸膜炎，临床治愈后稳定1年无变化者，合格。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肺外结核病：肾结核、骨结核、腹膜结核、淋巴结核等，临床治愈后2年无复发，经二级以上医院（或结核病防治所）检查无变化者，合格。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（三）严重的血液病，不合格。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单纯性缺铁性贫血，血红蛋白男性高于90g／L、女性高于80g／L，合格。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（四）慢性支气管炎伴阻塞性肺气肿、严重支气管扩张、严重支气管哮喘，不合格。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（五）严重慢性胃、肠疾病不合格。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胃溃疡或十二指肠溃疡已愈合，且1年内无出血史，1年以上无症状者，合格。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胃次全切除术后无严重并发症者，合格。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（六）各种急慢性肝炎和肝硬化不合格。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（七）恶性肿瘤不合格。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（八）慢性肾炎、慢性肾盂炎、多囊肾、肾功能不全，或急性肾炎治愈不足两年，不合格。</w:t>
      </w: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（九）I型糖尿病、II型糖尿病，伴心、脑、肾、眼及末梢循环等其他器官功能严重受损者，不合格。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尿崩症、肢端肥大症等内分泌系统疾病患者，不合格。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甲状腺功能亢进治愈后1年无症状和体征者，合格。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（十）有癫痫病史、精神病史、癔病史、严重的神经官能症（经常头痛头晕、失眠、记忆力明显下降等），精神活性物质滥用和依赖者，不合格。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（十一）红斑狼疮、皮肌炎和多发性肌炎、硬皮病、结节性多动脉炎、类风湿性关节炎等各种弥漫性结缔组织疾病，大动脉炎，不合格。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（十二）淋病、梅毒、软下疳、性病性淋巴肉芽肿、尖锐湿疣、生殖器疱疹，艾滋病，不合格。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（十三）晚期血吸虫病，晚期血丝虫病兼有橡皮肿或有乳糜尿，不合格。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（十四）色盲、色弱，幼儿园教师资格，不合格。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（十五）青光眼、视网膜、视神经疾病，不合格。陈旧性或稳定性眼底病，合格。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（十六）双耳均有听力障碍，在佩戴助听器情况下，双耳在3米以内耳语仍听不见者，不合格。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（十七）四肢有一肢缺失或不能运动，借助辅助工具仍不能完成教学者，不合格。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（十八）语言残疾或口腔有生理缺陷及耳、鼻、喉疾病之一并妨碍发音者，不合格。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（二十）申请幼儿园教师资格，淋球菌、梅毒螺旋体和妇科滴虫、外阴阴道假丝酵母菌（念球菌）检查阳性者，不合格。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三、体检机构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由各级教师资格认定机构指定的二级以上医院、体检中心负责体检。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四、体检要求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420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4"/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本办法自下发之日起执行，原办法自本办法实施之日起废止。本办法由宁夏回族自治区教育厅负责解释。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jc w:val="both"/>
        <w:rPr>
          <w:rFonts w:hint="eastAsia" w:ascii="仿宋_GB2312" w:hAnsi="仿宋" w:eastAsia="仿宋_GB2312" w:cs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636E5"/>
    <w:rsid w:val="00112C92"/>
    <w:rsid w:val="00ED23B1"/>
    <w:rsid w:val="00F15A4A"/>
    <w:rsid w:val="53C636E5"/>
    <w:rsid w:val="582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001</Company>
  <Pages>5</Pages>
  <Words>354</Words>
  <Characters>2020</Characters>
  <Lines>16</Lines>
  <Paragraphs>4</Paragraphs>
  <TotalTime>1</TotalTime>
  <ScaleCrop>false</ScaleCrop>
  <LinksUpToDate>false</LinksUpToDate>
  <CharactersWithSpaces>2370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2019-04-01T08:32:00Z</dcterms:created>
  <dc:creator>Administrator</dc:creator>
  <cp:lastModifiedBy>梦想人生</cp:lastModifiedBy>
  <dcterms:modified xsi:type="dcterms:W3CDTF">2019-04-11T07:38:58Z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